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8F52" w14:textId="7AE816A8" w:rsidR="001F0E2C" w:rsidRPr="002D7A5C" w:rsidRDefault="001F0E2C" w:rsidP="00A23121">
      <w:pPr>
        <w:spacing w:after="0" w:line="276" w:lineRule="auto"/>
        <w:ind w:left="-567" w:firstLine="567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bookmarkStart w:id="0" w:name="bookmark0"/>
      <w:bookmarkStart w:id="1" w:name="bookmark1"/>
      <w:bookmarkStart w:id="2" w:name="bookmark3"/>
      <w:bookmarkStart w:id="3" w:name="bookmark131"/>
      <w:bookmarkStart w:id="4" w:name="bookmark132"/>
      <w:bookmarkStart w:id="5" w:name="bookmark134"/>
      <w:r w:rsidRPr="002D7A5C">
        <w:rPr>
          <w:rFonts w:ascii="GHEA Grapalat" w:hAnsi="GHEA Grapalat"/>
          <w:b/>
          <w:color w:val="000000"/>
          <w:sz w:val="24"/>
          <w:szCs w:val="24"/>
          <w:lang w:val="hy-AM"/>
        </w:rPr>
        <w:t>ՀԱՐՑԱՇԱՐ</w:t>
      </w:r>
    </w:p>
    <w:p w14:paraId="34BA210B" w14:textId="77777777" w:rsidR="001F0E2C" w:rsidRPr="002D7A5C" w:rsidRDefault="001F0E2C" w:rsidP="00A23121">
      <w:pPr>
        <w:spacing w:after="0" w:line="276" w:lineRule="auto"/>
        <w:ind w:left="-567" w:firstLine="567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732A57F" w14:textId="5E1B17A2" w:rsidR="00C16A7E" w:rsidRPr="002D7A5C" w:rsidRDefault="009E740B" w:rsidP="00A23121">
      <w:pPr>
        <w:spacing w:after="0" w:line="276" w:lineRule="auto"/>
        <w:ind w:left="-567" w:firstLine="567"/>
        <w:jc w:val="center"/>
        <w:rPr>
          <w:rFonts w:ascii="GHEA Grapalat" w:eastAsia="Times New Roman" w:hAnsi="GHEA Grapalat" w:cs="Tahoma"/>
          <w:b/>
          <w:color w:val="333333"/>
          <w:sz w:val="24"/>
          <w:szCs w:val="24"/>
        </w:rPr>
      </w:pP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Հայաստանի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Սահմանադրություն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>.</w:t>
      </w:r>
      <w:bookmarkEnd w:id="0"/>
      <w:bookmarkEnd w:id="1"/>
      <w:bookmarkEnd w:id="2"/>
      <w:r w:rsidR="00C16A7E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Մարդու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իրավունքների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պաշտպանության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ոլորտում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ՀՀ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մասնակացությամբ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միջազգային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դատարանի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կամ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այլ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միջազգային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ատյանի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կայացրած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ակտեր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,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վերաբերելի</w:t>
      </w:r>
      <w:proofErr w:type="spellEnd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 xml:space="preserve"> </w:t>
      </w:r>
      <w:proofErr w:type="spellStart"/>
      <w:r w:rsidR="00894DFA" w:rsidRPr="002D7A5C">
        <w:rPr>
          <w:rFonts w:ascii="GHEA Grapalat" w:eastAsia="Times New Roman" w:hAnsi="GHEA Grapalat" w:cs="Tahoma"/>
          <w:b/>
          <w:bCs/>
          <w:iCs/>
          <w:color w:val="333333"/>
          <w:sz w:val="24"/>
          <w:szCs w:val="24"/>
        </w:rPr>
        <w:t>նախադեպեր</w:t>
      </w:r>
      <w:proofErr w:type="spellEnd"/>
    </w:p>
    <w:p w14:paraId="1D03D84C" w14:textId="77777777" w:rsidR="009E740B" w:rsidRPr="002D7A5C" w:rsidRDefault="009E740B" w:rsidP="00A23121">
      <w:pPr>
        <w:pStyle w:val="Heading10"/>
        <w:keepNext/>
        <w:keepLines/>
        <w:tabs>
          <w:tab w:val="left" w:pos="619"/>
        </w:tabs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</w:p>
    <w:p w14:paraId="50A52366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6" w:name="bookmark4"/>
      <w:bookmarkEnd w:id="6"/>
      <w:r w:rsidRPr="002D7A5C">
        <w:rPr>
          <w:rFonts w:ascii="Calibri" w:eastAsia="Times New Roman" w:hAnsi="Calibri" w:cs="Calibri"/>
          <w:color w:val="333333"/>
          <w:sz w:val="24"/>
          <w:szCs w:val="24"/>
        </w:rPr>
        <w:t> </w:t>
      </w:r>
      <w:proofErr w:type="spellStart"/>
      <w:r w:rsidRPr="002D7A5C">
        <w:rPr>
          <w:rFonts w:ascii="GHEA Grapalat" w:eastAsia="Times New Roman" w:hAnsi="GHEA Grapalat" w:cs="GHEA Grapalat"/>
          <w:color w:val="333333"/>
          <w:sz w:val="24"/>
          <w:szCs w:val="24"/>
        </w:rPr>
        <w:t>Մարդու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r w:rsidRPr="002D7A5C">
        <w:rPr>
          <w:rFonts w:ascii="GHEA Grapalat" w:eastAsia="Times New Roman" w:hAnsi="GHEA Grapalat" w:cs="GHEA Grapalat"/>
          <w:color w:val="333333"/>
          <w:sz w:val="24"/>
          <w:szCs w:val="24"/>
        </w:rPr>
        <w:t>և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GHEA Grapalat"/>
          <w:color w:val="333333"/>
          <w:sz w:val="24"/>
          <w:szCs w:val="24"/>
        </w:rPr>
        <w:t>քաղաքացու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GHEA Grapalat"/>
          <w:color w:val="333333"/>
          <w:sz w:val="24"/>
          <w:szCs w:val="24"/>
        </w:rPr>
        <w:t>հիմնական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GHEA Grapalat"/>
          <w:color w:val="333333"/>
          <w:sz w:val="24"/>
          <w:szCs w:val="24"/>
        </w:rPr>
        <w:t>իրավունքները</w:t>
      </w:r>
      <w:proofErr w:type="spellEnd"/>
      <w:r w:rsidRPr="002D7A5C">
        <w:rPr>
          <w:rFonts w:ascii="GHEA Grapalat" w:eastAsia="Times New Roman" w:hAnsi="GHEA Grapalat" w:cs="GHEA Grapalat"/>
          <w:color w:val="333333"/>
          <w:sz w:val="24"/>
          <w:szCs w:val="24"/>
        </w:rPr>
        <w:t xml:space="preserve"> </w:t>
      </w:r>
      <w:r w:rsidRPr="002D7A5C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և</w:t>
      </w:r>
      <w:r w:rsidRPr="002D7A5C">
        <w:rPr>
          <w:rFonts w:ascii="GHEA Grapalat" w:eastAsia="Times New Roman" w:hAnsi="GHEA Grapalat" w:cs="GHEA Grapalat"/>
          <w:color w:val="333333"/>
          <w:sz w:val="24"/>
          <w:szCs w:val="24"/>
        </w:rPr>
        <w:t xml:space="preserve"> </w:t>
      </w:r>
      <w:r w:rsidRPr="002D7A5C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ազատությունները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.</w:t>
      </w:r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6A4BE8E1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արժանապատվության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իրավունքը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D31DDFF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7" w:name="bookmark7"/>
      <w:bookmarkEnd w:id="7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Կյանքի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իրավունքը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D1E6CCE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8" w:name="bookmark8"/>
      <w:bookmarkEnd w:id="8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ազատության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իրավունքը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13410DB4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9" w:name="bookmark9"/>
      <w:bookmarkEnd w:id="9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Ֆիզիկական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հոգեկան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անձեռնմխելիության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իրավունքը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1B77766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0" w:name="bookmark10"/>
      <w:bookmarkEnd w:id="1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Բնակարանի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անձեռնմխելիության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իրավունքը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66C690F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1" w:name="bookmark11"/>
      <w:bookmarkEnd w:id="11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Մտքի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խղճի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կրոնի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ազատության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իրավունքը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2" w:name="bookmark12"/>
      <w:bookmarkEnd w:id="12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Կարծիքի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արտահայտման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ազատությունը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8073897" w14:textId="77777777" w:rsidR="00594BFA" w:rsidRPr="002D7A5C" w:rsidRDefault="00594BFA" w:rsidP="00A23121">
      <w:pPr>
        <w:pStyle w:val="BodyText"/>
        <w:numPr>
          <w:ilvl w:val="0"/>
          <w:numId w:val="2"/>
        </w:numPr>
        <w:tabs>
          <w:tab w:val="left" w:pos="459"/>
        </w:tabs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3" w:name="bookmark13"/>
      <w:bookmarkStart w:id="14" w:name="bookmark14"/>
      <w:bookmarkEnd w:id="13"/>
      <w:bookmarkEnd w:id="14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Իրավունքների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ազատությունների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սահմանափակումը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812F862" w14:textId="77777777" w:rsidR="0077617F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bookmarkStart w:id="15" w:name="bookmark15"/>
      <w:bookmarkEnd w:id="15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Իրավունքների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ազատությունների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պաշտպանությունը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6" w:name="bookmark16"/>
      <w:bookmarkEnd w:id="16"/>
    </w:p>
    <w:p w14:paraId="1ACFA770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Անմեղության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կանխավարկածը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7" w:name="bookmark17"/>
      <w:bookmarkEnd w:id="17"/>
    </w:p>
    <w:p w14:paraId="2B573361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հետադարձ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ուժը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B5AD2D9" w14:textId="77777777" w:rsidR="00594BFA" w:rsidRPr="002D7A5C" w:rsidRDefault="00594BFA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ՀՀ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նախագահի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սահմանադրաիրավական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կարգավիճակը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.</w:t>
      </w:r>
    </w:p>
    <w:p w14:paraId="7657BB07" w14:textId="77777777" w:rsidR="00594BFA" w:rsidRPr="002D7A5C" w:rsidRDefault="00594BFA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Ազգային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ժողովը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.</w:t>
      </w:r>
    </w:p>
    <w:p w14:paraId="1EAEE079" w14:textId="77777777" w:rsidR="00594BFA" w:rsidRPr="002D7A5C" w:rsidRDefault="00594BFA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Կառավարությունը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.</w:t>
      </w:r>
    </w:p>
    <w:p w14:paraId="35E64F36" w14:textId="77777777" w:rsidR="00594BFA" w:rsidRPr="002D7A5C" w:rsidRDefault="00594BFA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Դատարանները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. 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Բ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արձրագույն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դատական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խորհուրդը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.</w:t>
      </w:r>
    </w:p>
    <w:p w14:paraId="5F798882" w14:textId="77777777" w:rsidR="00594BFA" w:rsidRPr="002D7A5C" w:rsidRDefault="00594BFA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GHEA Grapalat"/>
          <w:color w:val="333333"/>
          <w:sz w:val="24"/>
          <w:szCs w:val="24"/>
        </w:rPr>
        <w:t>Սահմանադրական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GHEA Grapalat"/>
          <w:color w:val="333333"/>
          <w:sz w:val="24"/>
          <w:szCs w:val="24"/>
        </w:rPr>
        <w:t>դատարանը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.</w:t>
      </w:r>
    </w:p>
    <w:p w14:paraId="5476BE6A" w14:textId="77777777" w:rsidR="00594BFA" w:rsidRPr="002D7A5C" w:rsidRDefault="00594BFA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Վճռաբեկ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դատարանը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և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վերաքննիչ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դատարանները</w:t>
      </w:r>
    </w:p>
    <w:p w14:paraId="6A73C484" w14:textId="77777777" w:rsidR="0077617F" w:rsidRPr="002D7A5C" w:rsidRDefault="00594BFA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Դ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ատախազությ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ա</w:t>
      </w:r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ն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սահմանադրաիրավական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կարգավիճակը</w:t>
      </w:r>
      <w:proofErr w:type="spellEnd"/>
    </w:p>
    <w:p w14:paraId="7646FE40" w14:textId="05D47D88" w:rsidR="004B6CD8" w:rsidRDefault="00594BFA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r w:rsidRPr="002D7A5C">
        <w:rPr>
          <w:rFonts w:ascii="GHEA Grapalat" w:eastAsia="Times New Roman" w:hAnsi="GHEA Grapalat" w:cs="Tahoma"/>
          <w:color w:val="333333"/>
          <w:sz w:val="24"/>
          <w:szCs w:val="24"/>
          <w:lang w:val="ru-RU"/>
        </w:rPr>
        <w:t>Ք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ննչական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մարմինների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սահմանադրաիրավական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կարգավիճակը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:</w:t>
      </w:r>
      <w:bookmarkStart w:id="18" w:name="bookmark6"/>
      <w:bookmarkStart w:id="19" w:name="bookmark18"/>
      <w:bookmarkStart w:id="20" w:name="bookmark19"/>
      <w:bookmarkEnd w:id="18"/>
      <w:bookmarkEnd w:id="19"/>
      <w:bookmarkEnd w:id="20"/>
    </w:p>
    <w:p w14:paraId="43E08766" w14:textId="1153907B" w:rsidR="00B511E3" w:rsidRPr="007417E0" w:rsidRDefault="00B511E3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r>
        <w:rPr>
          <w:rFonts w:ascii="GHEA Grapalat" w:eastAsia="Times New Roman" w:hAnsi="GHEA Grapalat" w:cs="Tahoma"/>
          <w:color w:val="333333"/>
          <w:sz w:val="24"/>
          <w:szCs w:val="24"/>
          <w:lang w:val="hy-AM"/>
        </w:rPr>
        <w:t>Սահմանադրական դատարանի որոշումների իրավաբանական բնույթը և նշանակությունը ՀՀ իրավական համակարգում</w:t>
      </w:r>
    </w:p>
    <w:p w14:paraId="4DDA6B7D" w14:textId="6DF4A858" w:rsidR="00542F12" w:rsidRPr="002D7A5C" w:rsidRDefault="00542F12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r>
        <w:rPr>
          <w:rFonts w:ascii="GHEA Grapalat" w:eastAsia="Times New Roman" w:hAnsi="GHEA Grapalat" w:cs="Tahoma"/>
          <w:color w:val="333333"/>
          <w:sz w:val="24"/>
          <w:szCs w:val="24"/>
          <w:lang w:val="hy-AM"/>
        </w:rPr>
        <w:t>Սահմանադրական դատարան դիմելու իրավունքը</w:t>
      </w:r>
    </w:p>
    <w:p w14:paraId="1C94D896" w14:textId="65EB4A54" w:rsidR="004B6CD8" w:rsidRDefault="00C16A7E" w:rsidP="00A23121">
      <w:pPr>
        <w:pStyle w:val="ListParagraph"/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Եվրոպական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դատարանի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որոշումների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իրավաբանական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բնույթը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և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նշանակությունը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ՀՀ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իրավական</w:t>
      </w:r>
      <w:proofErr w:type="spellEnd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color w:val="333333"/>
          <w:sz w:val="24"/>
          <w:szCs w:val="24"/>
        </w:rPr>
        <w:t>համակարգում</w:t>
      </w:r>
      <w:proofErr w:type="spellEnd"/>
      <w:r w:rsidR="00370994">
        <w:rPr>
          <w:rFonts w:ascii="GHEA Grapalat" w:eastAsia="Times New Roman" w:hAnsi="GHEA Grapalat" w:cs="Tahoma"/>
          <w:color w:val="333333"/>
          <w:sz w:val="24"/>
          <w:szCs w:val="24"/>
          <w:lang w:val="hy-AM"/>
        </w:rPr>
        <w:t>, դրանց կատարման գործընթացը</w:t>
      </w:r>
    </w:p>
    <w:p w14:paraId="52914A85" w14:textId="020BD1B6" w:rsidR="00BF1DA4" w:rsidRPr="007417E0" w:rsidRDefault="00BF1DA4" w:rsidP="00A23121">
      <w:pPr>
        <w:pStyle w:val="ListParagraph"/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</w:rPr>
      </w:pPr>
      <w:r w:rsidRPr="007417E0">
        <w:rPr>
          <w:rFonts w:ascii="GHEA Grapalat" w:hAnsi="GHEA Grapalat"/>
          <w:sz w:val="24"/>
          <w:szCs w:val="24"/>
          <w:lang w:val="hy-AM"/>
        </w:rPr>
        <w:t>Մարդու իրավունքների եվրոպական դատարանի դատավորները</w:t>
      </w:r>
    </w:p>
    <w:p w14:paraId="1545A55F" w14:textId="5DAC6209" w:rsidR="00594BFA" w:rsidRPr="002D7A5C" w:rsidRDefault="00C16A7E" w:rsidP="00115219">
      <w:pPr>
        <w:pStyle w:val="ListParagraph"/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proofErr w:type="spellStart"/>
      <w:r w:rsidRPr="002D7A5C">
        <w:rPr>
          <w:rFonts w:ascii="GHEA Grapalat" w:eastAsia="Times New Roman" w:hAnsi="GHEA Grapalat" w:cs="Tahoma"/>
          <w:sz w:val="24"/>
          <w:szCs w:val="24"/>
        </w:rPr>
        <w:t>Եվրոպական</w:t>
      </w:r>
      <w:proofErr w:type="spellEnd"/>
      <w:r w:rsidRPr="002D7A5C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sz w:val="24"/>
          <w:szCs w:val="24"/>
        </w:rPr>
        <w:t>դատարանի</w:t>
      </w:r>
      <w:proofErr w:type="spellEnd"/>
      <w:r w:rsidRPr="002D7A5C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sz w:val="24"/>
          <w:szCs w:val="24"/>
        </w:rPr>
        <w:t>իրավական</w:t>
      </w:r>
      <w:proofErr w:type="spellEnd"/>
      <w:r w:rsidRPr="002D7A5C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sz w:val="24"/>
          <w:szCs w:val="24"/>
        </w:rPr>
        <w:t>դիրքորոշումները</w:t>
      </w:r>
      <w:proofErr w:type="spellEnd"/>
      <w:r w:rsidRPr="002D7A5C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sz w:val="24"/>
          <w:szCs w:val="24"/>
        </w:rPr>
        <w:t>կյանքի</w:t>
      </w:r>
      <w:proofErr w:type="spellEnd"/>
      <w:r w:rsidRPr="002D7A5C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sz w:val="24"/>
          <w:szCs w:val="24"/>
        </w:rPr>
        <w:t>իրավունքի</w:t>
      </w:r>
      <w:proofErr w:type="spellEnd"/>
      <w:r w:rsidRPr="002D7A5C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ahoma"/>
          <w:sz w:val="24"/>
          <w:szCs w:val="24"/>
        </w:rPr>
        <w:t>վերաբերյալ</w:t>
      </w:r>
      <w:proofErr w:type="spellEnd"/>
      <w:r w:rsidRPr="002D7A5C">
        <w:rPr>
          <w:rFonts w:ascii="GHEA Grapalat" w:eastAsia="Times New Roman" w:hAnsi="GHEA Grapalat" w:cs="Tahoma"/>
          <w:sz w:val="24"/>
          <w:szCs w:val="24"/>
        </w:rPr>
        <w:t>.</w:t>
      </w:r>
      <w:r w:rsidR="00567AD8" w:rsidRPr="002D7A5C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90071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(</w:t>
      </w:r>
      <w:r w:rsidR="007417E0">
        <w:fldChar w:fldCharType="begin"/>
      </w:r>
      <w:r w:rsidR="007417E0" w:rsidRPr="007417E0">
        <w:rPr>
          <w:lang w:val="hy-AM"/>
        </w:rPr>
        <w:instrText xml:space="preserve"> HYPERLINK "https://hudoc.echr.coe.int/fre?i=001-58257" </w:instrText>
      </w:r>
      <w:r w:rsidR="007417E0">
        <w:fldChar w:fldCharType="separate"/>
      </w:r>
      <w:r w:rsidR="00353923" w:rsidRPr="002D7A5C">
        <w:rPr>
          <w:rStyle w:val="Hyperlink"/>
          <w:rFonts w:ascii="GHEA Grapalat" w:hAnsi="GHEA Grapalat" w:cs="Arial"/>
          <w:bCs/>
          <w:color w:val="auto"/>
          <w:sz w:val="24"/>
          <w:szCs w:val="24"/>
          <w:shd w:val="clear" w:color="auto" w:fill="FFFFFF"/>
          <w:lang w:val="hy-AM"/>
        </w:rPr>
        <w:t>Osman v. the United Kingdom</w:t>
      </w:r>
      <w:r w:rsidR="007417E0">
        <w:rPr>
          <w:rStyle w:val="Hyperlink"/>
          <w:rFonts w:ascii="GHEA Grapalat" w:hAnsi="GHEA Grapalat" w:cs="Arial"/>
          <w:bCs/>
          <w:color w:val="auto"/>
          <w:sz w:val="24"/>
          <w:szCs w:val="24"/>
          <w:shd w:val="clear" w:color="auto" w:fill="FFFFFF"/>
          <w:lang w:val="hy-AM"/>
        </w:rPr>
        <w:fldChar w:fldCharType="end"/>
      </w:r>
      <w:r w:rsidR="00353923" w:rsidRPr="002D7A5C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 xml:space="preserve">, </w:t>
      </w:r>
      <w:hyperlink r:id="rId6" w:tgtFrame="_blank" w:history="1">
        <w:r w:rsidR="00B65CB4" w:rsidRPr="002D7A5C">
          <w:rPr>
            <w:rStyle w:val="Hyperlink"/>
            <w:rFonts w:ascii="GHEA Grapalat" w:hAnsi="GHEA Grapalat" w:cs="Arial"/>
            <w:bCs/>
            <w:color w:val="auto"/>
            <w:sz w:val="24"/>
            <w:szCs w:val="24"/>
            <w:shd w:val="clear" w:color="auto" w:fill="FFFFFF"/>
            <w:lang w:val="hy-AM"/>
          </w:rPr>
          <w:t>Fernandes de Oliveira v. Portugal</w:t>
        </w:r>
      </w:hyperlink>
      <w:r w:rsidR="00B65CB4" w:rsidRPr="002D7A5C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 xml:space="preserve">, </w:t>
      </w:r>
      <w:hyperlink r:id="rId7" w:tgtFrame="_blank" w:history="1">
        <w:r w:rsidR="00B65CB4" w:rsidRPr="002D7A5C">
          <w:rPr>
            <w:rStyle w:val="Hyperlink"/>
            <w:rFonts w:ascii="GHEA Grapalat" w:hAnsi="GHEA Grapalat" w:cs="Arial"/>
            <w:bCs/>
            <w:color w:val="auto"/>
            <w:sz w:val="24"/>
            <w:szCs w:val="24"/>
            <w:shd w:val="clear" w:color="auto" w:fill="FFFFFF"/>
            <w:lang w:val="hy-AM"/>
          </w:rPr>
          <w:t>Keller v. Russia</w:t>
        </w:r>
      </w:hyperlink>
      <w:r w:rsidR="00CF5A16" w:rsidRPr="002D7A5C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 xml:space="preserve">, </w:t>
      </w:r>
      <w:hyperlink r:id="rId8" w:history="1">
        <w:r w:rsidR="00CF5A16" w:rsidRPr="002D7A5C">
          <w:rPr>
            <w:rStyle w:val="Hyperlink"/>
            <w:rFonts w:ascii="GHEA Grapalat" w:hAnsi="GHEA Grapalat" w:cs="Arial"/>
            <w:bCs/>
            <w:color w:val="auto"/>
            <w:sz w:val="24"/>
            <w:szCs w:val="24"/>
            <w:shd w:val="clear" w:color="auto" w:fill="FFFFFF"/>
            <w:lang w:val="hy-AM"/>
          </w:rPr>
          <w:t>Ո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ւղեցույց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մարդու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իրավունքների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եվրոպական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կոնվենցիայի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2-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րդ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հոդվածի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վերաբերյալ</w:t>
        </w:r>
      </w:hyperlink>
      <w:r w:rsidR="00115219" w:rsidRPr="002D7A5C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, </w:t>
      </w:r>
      <w:hyperlink r:id="rId9" w:history="1">
        <w:r w:rsidR="00115219" w:rsidRPr="002D7A5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https://www.echr.coe.int/Documents/Guide_Art_2_HYE.pdf</w:t>
        </w:r>
      </w:hyperlink>
      <w:r w:rsidR="00567AD8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)</w:t>
      </w:r>
    </w:p>
    <w:p w14:paraId="2BE5EDCD" w14:textId="1D0C39C5" w:rsidR="00C16A7E" w:rsidRPr="002D7A5C" w:rsidRDefault="00C16A7E" w:rsidP="00996827">
      <w:pPr>
        <w:pStyle w:val="ListParagraph"/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Tahoma"/>
          <w:sz w:val="24"/>
          <w:szCs w:val="24"/>
          <w:lang w:val="hy-AM"/>
        </w:rPr>
        <w:lastRenderedPageBreak/>
        <w:t>Եվրոպական դատարանի իրավական դիրքորոշումները ազատության և անձնական անձեռնմխելիության իրավունքի վերաբերյալ.</w:t>
      </w:r>
      <w:r w:rsidR="00216BA4" w:rsidRPr="002D7A5C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90071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(</w:t>
      </w:r>
      <w:r w:rsidR="007417E0">
        <w:fldChar w:fldCharType="begin"/>
      </w:r>
      <w:r w:rsidR="007417E0" w:rsidRPr="007417E0">
        <w:rPr>
          <w:lang w:val="hy-AM"/>
        </w:rPr>
        <w:instrText xml:space="preserve"> HYPERLINK "https://hu</w:instrText>
      </w:r>
      <w:r w:rsidR="007417E0" w:rsidRPr="007417E0">
        <w:rPr>
          <w:lang w:val="hy-AM"/>
        </w:rPr>
        <w:instrText xml:space="preserve">doc.echr.coe.int/eng?i=001-140061" </w:instrText>
      </w:r>
      <w:r w:rsidR="007417E0">
        <w:fldChar w:fldCharType="separate"/>
      </w:r>
      <w:r w:rsidR="00595427" w:rsidRPr="002D7A5C">
        <w:rPr>
          <w:rStyle w:val="Hyperlink"/>
          <w:rFonts w:ascii="GHEA Grapalat" w:eastAsia="Times New Roman" w:hAnsi="GHEA Grapalat" w:cs="Tahoma"/>
          <w:color w:val="auto"/>
          <w:sz w:val="24"/>
          <w:szCs w:val="24"/>
          <w:lang w:val="hy-AM"/>
        </w:rPr>
        <w:t>M.A. v. Cyprus</w:t>
      </w:r>
      <w:r w:rsidR="007417E0">
        <w:rPr>
          <w:rStyle w:val="Hyperlink"/>
          <w:rFonts w:ascii="GHEA Grapalat" w:eastAsia="Times New Roman" w:hAnsi="GHEA Grapalat" w:cs="Tahoma"/>
          <w:color w:val="auto"/>
          <w:sz w:val="24"/>
          <w:szCs w:val="24"/>
          <w:lang w:val="hy-AM"/>
        </w:rPr>
        <w:fldChar w:fldCharType="end"/>
      </w:r>
      <w:r w:rsidR="00595427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, </w:t>
      </w:r>
      <w:hyperlink r:id="rId10" w:history="1">
        <w:r w:rsidR="009B4653" w:rsidRPr="002D7A5C">
          <w:rPr>
            <w:rStyle w:val="Hyperlink"/>
            <w:rFonts w:ascii="GHEA Grapalat" w:eastAsia="Times New Roman" w:hAnsi="GHEA Grapalat" w:cs="Tahoma"/>
            <w:color w:val="auto"/>
            <w:sz w:val="24"/>
            <w:szCs w:val="24"/>
            <w:lang w:val="hy-AM"/>
          </w:rPr>
          <w:t>Osypenko v. Ukraine</w:t>
        </w:r>
      </w:hyperlink>
      <w:r w:rsidR="009B465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, </w:t>
      </w:r>
      <w:hyperlink r:id="rId11" w:history="1">
        <w:r w:rsidR="007A6BCA" w:rsidRPr="002D7A5C">
          <w:rPr>
            <w:rStyle w:val="Hyperlink"/>
            <w:rFonts w:ascii="GHEA Grapalat" w:eastAsia="Times New Roman" w:hAnsi="GHEA Grapalat" w:cs="Tahoma"/>
            <w:color w:val="auto"/>
            <w:sz w:val="24"/>
            <w:szCs w:val="24"/>
            <w:lang w:val="hy-AM"/>
          </w:rPr>
          <w:t>S., V. and A. v. Denmark</w:t>
        </w:r>
      </w:hyperlink>
      <w:r w:rsidR="00CF5A16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, </w:t>
      </w:r>
      <w:hyperlink r:id="rId12" w:history="1">
        <w:r w:rsidR="00CF5A16" w:rsidRPr="002D7A5C">
          <w:rPr>
            <w:rStyle w:val="Hyperlink"/>
            <w:rFonts w:ascii="GHEA Grapalat" w:hAnsi="GHEA Grapalat" w:cs="Arial"/>
            <w:bCs/>
            <w:color w:val="auto"/>
            <w:sz w:val="24"/>
            <w:szCs w:val="24"/>
            <w:shd w:val="clear" w:color="auto" w:fill="FFFFFF"/>
            <w:lang w:val="hy-AM"/>
          </w:rPr>
          <w:t>Ո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ւղեցույց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մարդու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իրավունքների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եվրոպական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կոնվենցիայի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5-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րդ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հոդվածի</w:t>
        </w:r>
        <w:r w:rsidR="00CF5A16" w:rsidRPr="002D7A5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 xml:space="preserve"> </w:t>
        </w:r>
        <w:r w:rsidR="00CF5A16" w:rsidRPr="002D7A5C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վերաբերյալ</w:t>
        </w:r>
      </w:hyperlink>
      <w:r w:rsidR="00996827" w:rsidRPr="002D7A5C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, </w:t>
      </w:r>
      <w:hyperlink r:id="rId13" w:history="1">
        <w:r w:rsidR="00996827" w:rsidRPr="002D7A5C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https://www.echr.coe.int/Documents/Guide_Art_5_HYE.pdf</w:t>
        </w:r>
      </w:hyperlink>
      <w:r w:rsidR="0090071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)</w:t>
      </w:r>
    </w:p>
    <w:p w14:paraId="2EE0A578" w14:textId="58C328CC" w:rsidR="0077617F" w:rsidRPr="002D7A5C" w:rsidRDefault="0021112F" w:rsidP="0021112F">
      <w:pPr>
        <w:pStyle w:val="ListParagraph"/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Tahoma"/>
          <w:sz w:val="24"/>
          <w:szCs w:val="24"/>
          <w:lang w:val="hy-AM"/>
        </w:rPr>
        <w:t>Ա</w:t>
      </w:r>
      <w:r w:rsidR="00C16A7E" w:rsidRPr="002D7A5C">
        <w:rPr>
          <w:rFonts w:ascii="GHEA Grapalat" w:eastAsia="Times New Roman" w:hAnsi="GHEA Grapalat" w:cs="Tahoma"/>
          <w:sz w:val="24"/>
          <w:szCs w:val="24"/>
          <w:lang w:val="hy-AM"/>
        </w:rPr>
        <w:t>րդար դատաքննության իրավունքի վերաբերյալ</w:t>
      </w:r>
      <w:r w:rsidRPr="002D7A5C">
        <w:rPr>
          <w:rFonts w:ascii="GHEA Grapalat" w:eastAsia="Times New Roman" w:hAnsi="GHEA Grapalat" w:cs="Tahoma"/>
          <w:sz w:val="24"/>
          <w:szCs w:val="24"/>
          <w:lang w:val="hy-AM"/>
        </w:rPr>
        <w:t xml:space="preserve"> Եվրոպական դատարանի իրավական դիրքորոշումները</w:t>
      </w:r>
      <w:r w:rsidR="00C16A7E" w:rsidRPr="002D7A5C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90071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(</w:t>
      </w:r>
      <w:hyperlink r:id="rId14" w:history="1">
        <w:r w:rsidR="007A6BCA" w:rsidRPr="002D7A5C">
          <w:rPr>
            <w:rStyle w:val="Hyperlink"/>
            <w:rFonts w:ascii="GHEA Grapalat" w:eastAsia="Times New Roman" w:hAnsi="GHEA Grapalat" w:cs="Tahoma"/>
            <w:color w:val="auto"/>
            <w:sz w:val="24"/>
            <w:szCs w:val="24"/>
            <w:lang w:val="hy-AM"/>
          </w:rPr>
          <w:t>De Haes and Gijsels v. Belgium</w:t>
        </w:r>
      </w:hyperlink>
      <w:r w:rsidR="007A6BCA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, </w:t>
      </w:r>
      <w:hyperlink r:id="rId15" w:history="1">
        <w:r w:rsidR="008D3F6D" w:rsidRPr="002D7A5C">
          <w:rPr>
            <w:rStyle w:val="Hyperlink"/>
            <w:rFonts w:ascii="GHEA Grapalat" w:eastAsia="Times New Roman" w:hAnsi="GHEA Grapalat" w:cs="Tahoma"/>
            <w:color w:val="auto"/>
            <w:sz w:val="24"/>
            <w:szCs w:val="24"/>
            <w:lang w:val="hy-AM"/>
          </w:rPr>
          <w:t>Dombo Beheer B.V. v. Netherlands</w:t>
        </w:r>
      </w:hyperlink>
      <w:r w:rsidR="008D3F6D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, </w:t>
      </w:r>
      <w:hyperlink r:id="rId16" w:tgtFrame="_blank" w:history="1">
        <w:r w:rsidR="008D3F6D" w:rsidRPr="002D7A5C">
          <w:rPr>
            <w:rStyle w:val="Hyperlink"/>
            <w:rFonts w:ascii="GHEA Grapalat" w:eastAsia="Times New Roman" w:hAnsi="GHEA Grapalat" w:cs="Tahoma"/>
            <w:color w:val="auto"/>
            <w:sz w:val="24"/>
            <w:szCs w:val="24"/>
            <w:lang w:val="hy-AM"/>
          </w:rPr>
          <w:t>Yvon v. France</w:t>
        </w:r>
      </w:hyperlink>
      <w:r w:rsidR="00CF5A16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, </w:t>
      </w:r>
      <w:r w:rsidR="001E6F51" w:rsidRPr="001E6F51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Ramanauskas v. Lithuania, Bannikova v. Russia) </w:t>
      </w:r>
      <w:r w:rsidR="007417E0">
        <w:fldChar w:fldCharType="begin"/>
      </w:r>
      <w:r w:rsidR="007417E0" w:rsidRPr="007417E0">
        <w:rPr>
          <w:lang w:val="hy-AM"/>
        </w:rPr>
        <w:instrText xml:space="preserve"> HYPERLINK "</w:instrText>
      </w:r>
      <w:r w:rsidR="007417E0" w:rsidRPr="007417E0">
        <w:rPr>
          <w:lang w:val="hy-AM"/>
        </w:rPr>
        <w:instrText>Ուղեցույց</w:instrText>
      </w:r>
      <w:r w:rsidR="007417E0" w:rsidRPr="007417E0">
        <w:rPr>
          <w:lang w:val="hy-AM"/>
        </w:rPr>
        <w:instrText>%20</w:instrText>
      </w:r>
      <w:r w:rsidR="007417E0" w:rsidRPr="007417E0">
        <w:rPr>
          <w:lang w:val="hy-AM"/>
        </w:rPr>
        <w:instrText>մարդու</w:instrText>
      </w:r>
      <w:r w:rsidR="007417E0" w:rsidRPr="007417E0">
        <w:rPr>
          <w:lang w:val="hy-AM"/>
        </w:rPr>
        <w:instrText>%20</w:instrText>
      </w:r>
      <w:r w:rsidR="007417E0" w:rsidRPr="007417E0">
        <w:rPr>
          <w:lang w:val="hy-AM"/>
        </w:rPr>
        <w:instrText>իրավունքների</w:instrText>
      </w:r>
      <w:r w:rsidR="007417E0" w:rsidRPr="007417E0">
        <w:rPr>
          <w:lang w:val="hy-AM"/>
        </w:rPr>
        <w:instrText>%20</w:instrText>
      </w:r>
      <w:r w:rsidR="007417E0" w:rsidRPr="007417E0">
        <w:rPr>
          <w:lang w:val="hy-AM"/>
        </w:rPr>
        <w:instrText>եվրոպական</w:instrText>
      </w:r>
      <w:r w:rsidR="007417E0" w:rsidRPr="007417E0">
        <w:rPr>
          <w:lang w:val="hy-AM"/>
        </w:rPr>
        <w:instrText>%20</w:instrText>
      </w:r>
      <w:r w:rsidR="007417E0" w:rsidRPr="007417E0">
        <w:rPr>
          <w:lang w:val="hy-AM"/>
        </w:rPr>
        <w:instrText>կոնվենցիայի</w:instrText>
      </w:r>
      <w:r w:rsidR="007417E0" w:rsidRPr="007417E0">
        <w:rPr>
          <w:lang w:val="hy-AM"/>
        </w:rPr>
        <w:instrText>%206-</w:instrText>
      </w:r>
      <w:r w:rsidR="007417E0" w:rsidRPr="007417E0">
        <w:rPr>
          <w:lang w:val="hy-AM"/>
        </w:rPr>
        <w:instrText>րդ</w:instrText>
      </w:r>
      <w:r w:rsidR="007417E0" w:rsidRPr="007417E0">
        <w:rPr>
          <w:lang w:val="hy-AM"/>
        </w:rPr>
        <w:instrText>%20</w:instrText>
      </w:r>
      <w:r w:rsidR="007417E0" w:rsidRPr="007417E0">
        <w:rPr>
          <w:lang w:val="hy-AM"/>
        </w:rPr>
        <w:instrText>հոդվածի</w:instrText>
      </w:r>
      <w:r w:rsidR="007417E0" w:rsidRPr="007417E0">
        <w:rPr>
          <w:lang w:val="hy-AM"/>
        </w:rPr>
        <w:instrText>%20</w:instrText>
      </w:r>
      <w:r w:rsidR="007417E0" w:rsidRPr="007417E0">
        <w:rPr>
          <w:lang w:val="hy-AM"/>
        </w:rPr>
        <w:instrText>վերաբերյալ</w:instrText>
      </w:r>
      <w:r w:rsidR="007417E0" w:rsidRPr="007417E0">
        <w:rPr>
          <w:lang w:val="hy-AM"/>
        </w:rPr>
        <w:instrText xml:space="preserve">" </w:instrText>
      </w:r>
      <w:r w:rsidR="007417E0">
        <w:fldChar w:fldCharType="separate"/>
      </w:r>
      <w:r w:rsidR="00E50A33" w:rsidRPr="00352C1C">
        <w:rPr>
          <w:rStyle w:val="Hyperlink"/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Ո</w:t>
      </w:r>
      <w:r w:rsidR="00E50A33" w:rsidRPr="00352C1C">
        <w:rPr>
          <w:rStyle w:val="Hyperlink"/>
          <w:rFonts w:ascii="GHEA Grapalat" w:hAnsi="GHEA Grapalat" w:cs="Sylfaen"/>
          <w:sz w:val="24"/>
          <w:szCs w:val="24"/>
          <w:lang w:val="hy-AM"/>
        </w:rPr>
        <w:t>ւղեցույց</w:t>
      </w:r>
      <w:r w:rsidR="00E50A33" w:rsidRPr="00352C1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E50A33" w:rsidRPr="00352C1C">
        <w:rPr>
          <w:rStyle w:val="Hyperlink"/>
          <w:rFonts w:ascii="GHEA Grapalat" w:hAnsi="GHEA Grapalat" w:cs="Sylfaen"/>
          <w:sz w:val="24"/>
          <w:szCs w:val="24"/>
          <w:lang w:val="hy-AM"/>
        </w:rPr>
        <w:t>մարդու</w:t>
      </w:r>
      <w:r w:rsidR="00E50A33" w:rsidRPr="00352C1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E50A33" w:rsidRPr="00352C1C">
        <w:rPr>
          <w:rStyle w:val="Hyperlink"/>
          <w:rFonts w:ascii="GHEA Grapalat" w:hAnsi="GHEA Grapalat" w:cs="Sylfaen"/>
          <w:sz w:val="24"/>
          <w:szCs w:val="24"/>
          <w:lang w:val="hy-AM"/>
        </w:rPr>
        <w:t>իրավունքների</w:t>
      </w:r>
      <w:r w:rsidR="00E50A33" w:rsidRPr="00352C1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E50A33" w:rsidRPr="00352C1C">
        <w:rPr>
          <w:rStyle w:val="Hyperlink"/>
          <w:rFonts w:ascii="GHEA Grapalat" w:hAnsi="GHEA Grapalat" w:cs="Sylfaen"/>
          <w:sz w:val="24"/>
          <w:szCs w:val="24"/>
          <w:lang w:val="hy-AM"/>
        </w:rPr>
        <w:t>եվրոպական</w:t>
      </w:r>
      <w:r w:rsidR="00E50A33" w:rsidRPr="00352C1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E50A33" w:rsidRPr="00352C1C">
        <w:rPr>
          <w:rStyle w:val="Hyperlink"/>
          <w:rFonts w:ascii="GHEA Grapalat" w:hAnsi="GHEA Grapalat" w:cs="Sylfaen"/>
          <w:sz w:val="24"/>
          <w:szCs w:val="24"/>
          <w:lang w:val="hy-AM"/>
        </w:rPr>
        <w:t>կոնվենցիայի</w:t>
      </w:r>
      <w:r w:rsidR="00E50A33" w:rsidRPr="00352C1C">
        <w:rPr>
          <w:rStyle w:val="Hyperlink"/>
          <w:rFonts w:ascii="GHEA Grapalat" w:hAnsi="GHEA Grapalat"/>
          <w:sz w:val="24"/>
          <w:szCs w:val="24"/>
          <w:lang w:val="hy-AM"/>
        </w:rPr>
        <w:t xml:space="preserve"> 6-</w:t>
      </w:r>
      <w:r w:rsidR="00E50A33" w:rsidRPr="00352C1C">
        <w:rPr>
          <w:rStyle w:val="Hyperlink"/>
          <w:rFonts w:ascii="GHEA Grapalat" w:hAnsi="GHEA Grapalat" w:cs="Sylfaen"/>
          <w:sz w:val="24"/>
          <w:szCs w:val="24"/>
          <w:lang w:val="hy-AM"/>
        </w:rPr>
        <w:t>րդ</w:t>
      </w:r>
      <w:r w:rsidR="00E50A33" w:rsidRPr="00352C1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E50A33" w:rsidRPr="00352C1C">
        <w:rPr>
          <w:rStyle w:val="Hyperlink"/>
          <w:rFonts w:ascii="GHEA Grapalat" w:hAnsi="GHEA Grapalat" w:cs="Sylfaen"/>
          <w:sz w:val="24"/>
          <w:szCs w:val="24"/>
          <w:lang w:val="hy-AM"/>
        </w:rPr>
        <w:t>հոդվածի</w:t>
      </w:r>
      <w:r w:rsidR="00E50A33" w:rsidRPr="00352C1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E50A33" w:rsidRPr="00352C1C">
        <w:rPr>
          <w:rStyle w:val="Hyperlink"/>
          <w:rFonts w:ascii="GHEA Grapalat" w:hAnsi="GHEA Grapalat" w:cs="Sylfaen"/>
          <w:sz w:val="24"/>
          <w:szCs w:val="24"/>
          <w:lang w:val="hy-AM"/>
        </w:rPr>
        <w:t>վերաբերյալ</w:t>
      </w:r>
      <w:r w:rsidR="007417E0">
        <w:rPr>
          <w:rStyle w:val="Hyperlink"/>
          <w:rFonts w:ascii="GHEA Grapalat" w:hAnsi="GHEA Grapalat" w:cs="Sylfaen"/>
          <w:sz w:val="24"/>
          <w:szCs w:val="24"/>
          <w:lang w:val="hy-AM"/>
        </w:rPr>
        <w:fldChar w:fldCharType="end"/>
      </w:r>
      <w:r w:rsidR="00CF5A16" w:rsidRPr="002D7A5C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 xml:space="preserve">, </w:t>
      </w:r>
      <w:hyperlink r:id="rId17" w:history="1">
        <w:r w:rsidRPr="002D7A5C">
          <w:rPr>
            <w:rStyle w:val="Hyperlink"/>
            <w:rFonts w:ascii="GHEA Grapalat" w:hAnsi="GHEA Grapalat" w:cs="Arial"/>
            <w:bCs/>
            <w:sz w:val="24"/>
            <w:szCs w:val="24"/>
            <w:shd w:val="clear" w:color="auto" w:fill="FFFFFF"/>
            <w:lang w:val="hy-AM"/>
          </w:rPr>
          <w:t>https://www.echr.coe.int/Documents/Guide_Art_6_criminal_HYE.pdf</w:t>
        </w:r>
      </w:hyperlink>
      <w:r w:rsidRPr="002D7A5C">
        <w:rPr>
          <w:rFonts w:ascii="GHEA Grapalat" w:eastAsia="Times New Roman" w:hAnsi="GHEA Grapalat" w:cs="Tahoma"/>
          <w:sz w:val="24"/>
          <w:szCs w:val="24"/>
          <w:lang w:val="hy-AM"/>
        </w:rPr>
        <w:t>), Վճռաբեկ դատարանի իրավական դիրքորոշումները (</w:t>
      </w:r>
      <w:r w:rsidR="00CF5A16" w:rsidRPr="002D7A5C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 xml:space="preserve">Արարատ Ավագյանի և Վահան Սահակյանի վերաբերյալ </w:t>
      </w:r>
      <w:r w:rsidR="001468B6" w:rsidRPr="002D7A5C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 xml:space="preserve">գործով </w:t>
      </w:r>
      <w:r w:rsidR="00CF5A16" w:rsidRPr="002D7A5C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 xml:space="preserve">Վճռաբեկ դատարանի 2014 թվականի հոկտեմբերի 31-ի թիվ </w:t>
      </w:r>
      <w:r w:rsidR="002227E4" w:rsidRPr="002D7A5C">
        <w:rPr>
          <w:rFonts w:ascii="GHEA Grapalat" w:hAnsi="GHEA Grapalat" w:cs="Arial"/>
          <w:bCs/>
          <w:sz w:val="24"/>
          <w:szCs w:val="24"/>
          <w:shd w:val="clear" w:color="auto" w:fill="FFFFFF"/>
          <w:lang w:val="hy-AM"/>
        </w:rPr>
        <w:t>ԵԿԴ/0252/01/13</w:t>
      </w:r>
      <w:r w:rsidR="002227E4" w:rsidRPr="002D7A5C">
        <w:rPr>
          <w:rFonts w:ascii="GHEA Grapalat" w:eastAsia="Times New Roman" w:hAnsi="GHEA Grapalat" w:cs="Tahoma"/>
          <w:sz w:val="24"/>
          <w:szCs w:val="24"/>
          <w:lang w:val="hy-AM"/>
        </w:rPr>
        <w:t xml:space="preserve"> որոշում</w:t>
      </w:r>
      <w:r w:rsidR="00900713" w:rsidRPr="002D7A5C">
        <w:rPr>
          <w:rFonts w:ascii="GHEA Grapalat" w:eastAsia="Times New Roman" w:hAnsi="GHEA Grapalat" w:cs="Tahoma"/>
          <w:sz w:val="24"/>
          <w:szCs w:val="24"/>
          <w:lang w:val="hy-AM"/>
        </w:rPr>
        <w:t>)</w:t>
      </w:r>
    </w:p>
    <w:p w14:paraId="7B38B7D2" w14:textId="5201010F" w:rsidR="0077617F" w:rsidRPr="002D7A5C" w:rsidRDefault="0077617F" w:rsidP="00A22593">
      <w:pPr>
        <w:pStyle w:val="ListParagraph"/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Tahoma"/>
          <w:sz w:val="24"/>
          <w:szCs w:val="24"/>
          <w:lang w:val="hy-AM"/>
        </w:rPr>
        <w:t>Ք</w:t>
      </w:r>
      <w:r w:rsidR="00C16A7E" w:rsidRPr="002D7A5C">
        <w:rPr>
          <w:rFonts w:ascii="GHEA Grapalat" w:eastAsia="Times New Roman" w:hAnsi="GHEA Grapalat" w:cs="Tahoma"/>
          <w:sz w:val="24"/>
          <w:szCs w:val="24"/>
          <w:lang w:val="hy-AM"/>
        </w:rPr>
        <w:t>րեական մեղադրանք հասկացությունը.</w:t>
      </w:r>
      <w:r w:rsidR="008717FB" w:rsidRPr="002D7A5C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8D3F6D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(</w:t>
      </w:r>
      <w:r w:rsidR="00AC160F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Deweer v. Belgium, Eckle v. Germany, Shabelnik v. Ukraine</w:t>
      </w:r>
      <w:r w:rsidR="00A2259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, </w:t>
      </w:r>
      <w:hyperlink r:id="rId18" w:history="1">
        <w:r w:rsidR="00A22593" w:rsidRPr="002D7A5C">
          <w:rPr>
            <w:rStyle w:val="Hyperlink"/>
            <w:rFonts w:ascii="GHEA Grapalat" w:eastAsia="Times New Roman" w:hAnsi="GHEA Grapalat" w:cs="Tahoma"/>
            <w:sz w:val="24"/>
            <w:szCs w:val="24"/>
            <w:lang w:val="hy-AM"/>
          </w:rPr>
          <w:t>https://www.echr.coe.int/Documents/Guide_Art_6_criminal_HYE.pdf</w:t>
        </w:r>
      </w:hyperlink>
      <w:r w:rsidR="008717FB" w:rsidRPr="002D7A5C">
        <w:rPr>
          <w:rFonts w:ascii="GHEA Grapalat" w:eastAsia="Times New Roman" w:hAnsi="GHEA Grapalat" w:cs="Tahoma"/>
          <w:sz w:val="24"/>
          <w:szCs w:val="24"/>
          <w:lang w:val="hy-AM"/>
        </w:rPr>
        <w:t>)</w:t>
      </w:r>
    </w:p>
    <w:p w14:paraId="49F0DB37" w14:textId="77777777" w:rsidR="00C01F8B" w:rsidRPr="002D7A5C" w:rsidRDefault="00C01F8B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ՄԻԵԿ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>-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5(3)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հոդվածի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«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ողջամիտ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ժամկետ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»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հասկացության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համատեքստում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հանցագործության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կատարման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մեջ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մեղադրվող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անձի՝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կալանքի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տակ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գտնվելու</w:t>
      </w:r>
      <w:r w:rsidRPr="002D7A5C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bCs/>
          <w:sz w:val="24"/>
          <w:szCs w:val="24"/>
          <w:lang w:val="hy-AM"/>
        </w:rPr>
        <w:t>ժամկետը.</w:t>
      </w:r>
    </w:p>
    <w:p w14:paraId="57AE9C19" w14:textId="766AE7DF" w:rsidR="00C16A7E" w:rsidRPr="002D7A5C" w:rsidRDefault="0077617F" w:rsidP="008A7FEB">
      <w:pPr>
        <w:pStyle w:val="ListParagraph"/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Tahoma"/>
          <w:sz w:val="24"/>
          <w:szCs w:val="24"/>
          <w:lang w:val="hy-AM"/>
        </w:rPr>
        <w:t>Ա</w:t>
      </w:r>
      <w:r w:rsidR="00C16A7E" w:rsidRPr="002D7A5C">
        <w:rPr>
          <w:rFonts w:ascii="GHEA Grapalat" w:eastAsia="Times New Roman" w:hAnsi="GHEA Grapalat" w:cs="Tahoma"/>
          <w:sz w:val="24"/>
          <w:szCs w:val="24"/>
          <w:lang w:val="hy-AM"/>
        </w:rPr>
        <w:t>նմեղության կանխավարկած.</w:t>
      </w:r>
      <w:r w:rsidR="008A7FEB" w:rsidRPr="002D7A5C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90071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(</w:t>
      </w:r>
      <w:r w:rsidR="00AC160F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Salabiaku v. France, </w:t>
      </w:r>
      <w:r w:rsidR="007B622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Pham Hoang v. France, </w:t>
      </w:r>
      <w:r w:rsidR="007B6223" w:rsidRPr="002D7A5C">
        <w:rPr>
          <w:rFonts w:ascii="GHEA Grapalat" w:hAnsi="GHEA Grapalat" w:cs="Tahoma"/>
          <w:sz w:val="24"/>
          <w:szCs w:val="24"/>
          <w:lang w:val="hy-AM"/>
        </w:rPr>
        <w:t>Virabyan</w:t>
      </w:r>
      <w:r w:rsidR="007B6223" w:rsidRPr="002D7A5C">
        <w:rPr>
          <w:rFonts w:ascii="GHEA Grapalat" w:hAnsi="GHEA Grapalat"/>
          <w:sz w:val="24"/>
          <w:szCs w:val="24"/>
          <w:lang w:val="hy-AM"/>
        </w:rPr>
        <w:t xml:space="preserve"> v. Armenia</w:t>
      </w:r>
      <w:r w:rsidR="00CF5A16" w:rsidRPr="002D7A5C">
        <w:rPr>
          <w:rFonts w:ascii="GHEA Grapalat" w:hAnsi="GHEA Grapalat"/>
          <w:sz w:val="24"/>
          <w:szCs w:val="24"/>
          <w:lang w:val="hy-AM"/>
        </w:rPr>
        <w:t xml:space="preserve">, </w:t>
      </w:r>
      <w:r w:rsidR="00AA55DD" w:rsidRPr="002D7A5C">
        <w:rPr>
          <w:rFonts w:ascii="GHEA Grapalat" w:hAnsi="GHEA Grapalat"/>
          <w:sz w:val="24"/>
          <w:szCs w:val="24"/>
          <w:lang w:val="hy-AM"/>
        </w:rPr>
        <w:t>Արմեն Բաբայանի և Սուրեն Թումանյանի վերաբերյալ գործով Վճռաբեկ դատարանի 2011 թվականի դեկտեմբերի 22-ի թիվ ԵԷԴ/0044/01/11 որոշում</w:t>
      </w:r>
      <w:r w:rsidR="00900713" w:rsidRPr="002D7A5C">
        <w:rPr>
          <w:rFonts w:ascii="GHEA Grapalat" w:eastAsia="Times New Roman" w:hAnsi="GHEA Grapalat" w:cs="Tahoma"/>
          <w:sz w:val="24"/>
          <w:szCs w:val="24"/>
          <w:lang w:val="hy-AM"/>
        </w:rPr>
        <w:t>)</w:t>
      </w:r>
    </w:p>
    <w:p w14:paraId="60A75541" w14:textId="0B928C52" w:rsidR="00C16A7E" w:rsidRPr="002D7A5C" w:rsidRDefault="00C16A7E" w:rsidP="008A7FEB">
      <w:pPr>
        <w:pStyle w:val="ListParagraph"/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Tahoma"/>
          <w:sz w:val="24"/>
          <w:szCs w:val="24"/>
          <w:lang w:val="hy-AM"/>
        </w:rPr>
        <w:t>Մեղադրյալի նվազագույն իրավունքները.</w:t>
      </w:r>
      <w:r w:rsidR="008A7FEB" w:rsidRPr="002D7A5C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90071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(</w:t>
      </w:r>
      <w:r w:rsidR="001F688F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 xml:space="preserve">Pellisier and Sassi v. France, </w:t>
      </w:r>
      <w:r w:rsidR="001F688F" w:rsidRPr="002D7A5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Համայակ Սահակյանի գործով Վճռաբեկ դատարանի 2011 թվականի հոկտեմբերի 20-ի թիվ ԼԴ/0212/01/10 որոշում, </w:t>
      </w:r>
      <w:r w:rsidR="00CF5A16" w:rsidRPr="002D7A5C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Սարիբեկ Հարությունյանի վերաբերյալ Վճռաբեկ դատարանի 2014 թվականի մայիսի 31-ի</w:t>
      </w:r>
      <w:r w:rsidR="00CF5A16" w:rsidRPr="002D7A5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F5A16" w:rsidRPr="002D7A5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թիվ ԵԱՔԴ/0189/01/12 որոշում</w:t>
      </w:r>
      <w:r w:rsidR="002227E4" w:rsidRPr="002D7A5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, </w:t>
      </w:r>
      <w:hyperlink r:id="rId19" w:history="1">
        <w:r w:rsidR="002227E4" w:rsidRPr="002D7A5C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hy-AM"/>
          </w:rPr>
          <w:t>Avagyan v. Armenia</w:t>
        </w:r>
      </w:hyperlink>
      <w:r w:rsidR="00900713" w:rsidRPr="002D7A5C">
        <w:rPr>
          <w:rFonts w:ascii="GHEA Grapalat" w:eastAsia="Times New Roman" w:hAnsi="GHEA Grapalat" w:cs="Tahoma"/>
          <w:sz w:val="24"/>
          <w:szCs w:val="24"/>
          <w:u w:val="single"/>
          <w:lang w:val="hy-AM"/>
        </w:rPr>
        <w:t>)</w:t>
      </w:r>
    </w:p>
    <w:p w14:paraId="2E15EDD0" w14:textId="77777777" w:rsidR="00737C7E" w:rsidRPr="002D7A5C" w:rsidRDefault="00737C7E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333333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ՄԻԵԿ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կից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7-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արձանագրության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4-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հոդվածի՝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կրկին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չդատվելու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չպատժվելու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իրավունքը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սահմանող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դրույթները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14:paraId="228BECC6" w14:textId="0F0907B0" w:rsidR="00737C7E" w:rsidRPr="002D7A5C" w:rsidRDefault="00737C7E" w:rsidP="00625C7C">
      <w:pPr>
        <w:pStyle w:val="ListParagraph"/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 w:cs="Tahoma"/>
          <w:color w:val="C00000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ՄԻԵԿ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6-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րդ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հոդվածի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1-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ին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կետում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սահմանված՝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գործի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քննության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ժամկետի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«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ողջամտության</w:t>
      </w:r>
      <w:r w:rsidRPr="002D7A5C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» </w:t>
      </w:r>
      <w:r w:rsidRPr="002D7A5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չափանիշները</w:t>
      </w:r>
      <w:r w:rsidRPr="002D7A5C">
        <w:rPr>
          <w:rFonts w:ascii="GHEA Grapalat" w:eastAsia="Times New Roman" w:hAnsi="GHEA Grapalat"/>
          <w:color w:val="C00000"/>
          <w:sz w:val="24"/>
          <w:szCs w:val="24"/>
          <w:lang w:val="hy-AM"/>
        </w:rPr>
        <w:t>.</w:t>
      </w:r>
      <w:r w:rsidR="00871CED" w:rsidRPr="002D7A5C">
        <w:rPr>
          <w:rFonts w:ascii="GHEA Grapalat" w:eastAsia="Times New Roman" w:hAnsi="GHEA Grapalat"/>
          <w:color w:val="C00000"/>
          <w:sz w:val="24"/>
          <w:szCs w:val="24"/>
          <w:lang w:val="hy-AM"/>
        </w:rPr>
        <w:t xml:space="preserve"> </w:t>
      </w:r>
    </w:p>
    <w:p w14:paraId="763C4CB2" w14:textId="77777777" w:rsidR="00737C7E" w:rsidRPr="002D7A5C" w:rsidRDefault="00737C7E" w:rsidP="00A23121">
      <w:pPr>
        <w:numPr>
          <w:ilvl w:val="0"/>
          <w:numId w:val="2"/>
        </w:numPr>
        <w:spacing w:after="0" w:line="276" w:lineRule="auto"/>
        <w:ind w:left="-567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ՄԻԵԿ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1-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արձանագրության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1-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համաձայն՝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="00C01F8B" w:rsidRPr="002D7A5C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D7A5C">
        <w:rPr>
          <w:rFonts w:ascii="GHEA Grapalat" w:eastAsia="Times New Roman" w:hAnsi="GHEA Grapalat" w:cs="Sylfaen"/>
          <w:sz w:val="24"/>
          <w:szCs w:val="24"/>
          <w:lang w:val="hy-AM"/>
        </w:rPr>
        <w:t>սեփականությունից</w:t>
      </w:r>
      <w:r w:rsidR="00C01F8B" w:rsidRPr="002D7A5C">
        <w:rPr>
          <w:rFonts w:ascii="GHEA Grapalat" w:eastAsia="Times New Roman" w:hAnsi="GHEA Grapalat"/>
          <w:sz w:val="24"/>
          <w:szCs w:val="24"/>
          <w:lang w:val="hy-AM"/>
        </w:rPr>
        <w:t xml:space="preserve"> զրկելու իրավակարգավորումները.</w:t>
      </w:r>
    </w:p>
    <w:p w14:paraId="02574B7E" w14:textId="77777777" w:rsidR="009E740B" w:rsidRPr="002D7A5C" w:rsidRDefault="009E740B" w:rsidP="00A23121">
      <w:pPr>
        <w:pStyle w:val="Heading10"/>
        <w:keepNext/>
        <w:keepLines/>
        <w:spacing w:after="140"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9F7D9F1" w14:textId="77777777" w:rsidR="008E579C" w:rsidRPr="002D7A5C" w:rsidRDefault="008E579C" w:rsidP="00A23121">
      <w:pPr>
        <w:pStyle w:val="Heading10"/>
        <w:keepNext/>
        <w:keepLines/>
        <w:spacing w:after="140" w:line="276" w:lineRule="auto"/>
        <w:ind w:left="-567" w:firstLine="567"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i w:val="0"/>
          <w:color w:val="000000"/>
          <w:sz w:val="24"/>
          <w:szCs w:val="24"/>
        </w:rPr>
        <w:t>Հայաստանի</w:t>
      </w:r>
      <w:proofErr w:type="spellEnd"/>
      <w:r w:rsidRPr="002D7A5C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i w:val="0"/>
          <w:color w:val="000000"/>
          <w:sz w:val="24"/>
          <w:szCs w:val="24"/>
        </w:rPr>
        <w:t>Հանրապետության</w:t>
      </w:r>
      <w:proofErr w:type="spellEnd"/>
      <w:r w:rsidRPr="002D7A5C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i w:val="0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i w:val="0"/>
          <w:color w:val="000000"/>
          <w:sz w:val="24"/>
          <w:szCs w:val="24"/>
        </w:rPr>
        <w:t>օրենսդրություն</w:t>
      </w:r>
      <w:proofErr w:type="spellEnd"/>
      <w:r w:rsidRPr="002D7A5C">
        <w:rPr>
          <w:rFonts w:ascii="GHEA Grapalat" w:hAnsi="GHEA Grapalat"/>
          <w:i w:val="0"/>
          <w:color w:val="000000"/>
          <w:sz w:val="24"/>
          <w:szCs w:val="24"/>
        </w:rPr>
        <w:t>.</w:t>
      </w:r>
    </w:p>
    <w:p w14:paraId="6470E318" w14:textId="4379E932" w:rsidR="009D4DC2" w:rsidRPr="007417E0" w:rsidRDefault="0021736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Հանցանք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հասկացությունը</w:t>
      </w:r>
      <w:proofErr w:type="spellEnd"/>
      <w:r w:rsidR="009D4DC2" w:rsidRPr="002D7A5C">
        <w:rPr>
          <w:rFonts w:ascii="GHEA Grapalat" w:hAnsi="GHEA Grapalat"/>
          <w:b/>
          <w:bCs/>
          <w:color w:val="000000"/>
          <w:sz w:val="24"/>
          <w:szCs w:val="24"/>
        </w:rPr>
        <w:t>,</w:t>
      </w:r>
      <w:r w:rsidR="009D4DC2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D4DC2" w:rsidRPr="002D7A5C">
        <w:rPr>
          <w:rFonts w:ascii="GHEA Grapalat" w:hAnsi="GHEA Grapalat"/>
          <w:color w:val="000000"/>
          <w:sz w:val="24"/>
          <w:szCs w:val="24"/>
        </w:rPr>
        <w:t>հատկանիշները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>.</w:t>
      </w:r>
      <w:r w:rsidR="003D1220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Հանցանքների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1220" w:rsidRPr="002D7A5C">
        <w:rPr>
          <w:rFonts w:ascii="GHEA Grapalat" w:hAnsi="GHEA Grapalat"/>
          <w:color w:val="000000"/>
          <w:sz w:val="24"/>
          <w:szCs w:val="24"/>
        </w:rPr>
        <w:t>դասակարգումը</w:t>
      </w:r>
      <w:proofErr w:type="spellEnd"/>
      <w:r w:rsidR="003D1220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6F3F908" w14:textId="061AE429" w:rsidR="00F0377B" w:rsidRPr="002D7A5C" w:rsidRDefault="00F0377B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Մեղսունակությունը</w:t>
      </w:r>
    </w:p>
    <w:p w14:paraId="59C4F9D1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21" w:name="bookmark39"/>
      <w:bookmarkStart w:id="22" w:name="bookmark40"/>
      <w:bookmarkEnd w:id="21"/>
      <w:bookmarkEnd w:id="22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Հանցակազմի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ծանրացնող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մեղմացնող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հանգամանքները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4B0A88E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23" w:name="bookmark41"/>
      <w:bookmarkStart w:id="24" w:name="bookmark42"/>
      <w:bookmarkEnd w:id="23"/>
      <w:bookmarkEnd w:id="24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Շարունակվող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տևող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հանցագործությունները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83F436D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25" w:name="bookmark43"/>
      <w:bookmarkEnd w:id="25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Հանցագործությունների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համակցությունը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իդեալական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համակցություն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6E0A7F8A" w14:textId="1EC70CA8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26" w:name="bookmark44"/>
      <w:bookmarkEnd w:id="26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Հանցագործությունների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ռեցիդիվը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</w:p>
    <w:p w14:paraId="23CBD442" w14:textId="77777777" w:rsidR="003D1220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27" w:name="bookmark45"/>
      <w:bookmarkEnd w:id="27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օբյեկտը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հիմնական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լրացուցիչ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օբյեկտները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առարկան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28" w:name="bookmark46"/>
      <w:bookmarkEnd w:id="28"/>
    </w:p>
    <w:p w14:paraId="5D9ABD05" w14:textId="77777777" w:rsidR="003D1220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օբյեկտիվ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կողմը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հանրորեն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վտանգավոր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արարքը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,</w:t>
      </w:r>
      <w:r w:rsidR="003D1220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հետևանքները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դրանց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միջև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պատճառական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կապը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29" w:name="bookmark47"/>
      <w:bookmarkEnd w:id="29"/>
    </w:p>
    <w:p w14:paraId="145248E1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տեղը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ժամանակը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եղանակը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իրադրությունը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գործիքներն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միջոցները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3C28DF8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30" w:name="bookmark48"/>
      <w:bookmarkEnd w:id="3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սուբյեկտի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հատկանիշները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31" w:name="bookmark49"/>
      <w:bookmarkEnd w:id="31"/>
      <w:r w:rsidR="003D1220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Տարիքը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սուբյեկտի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հատկանիշ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9CD3FB4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32" w:name="bookmark50"/>
      <w:bookmarkEnd w:id="32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Հատուկ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սուբյեկտի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բնութագիրը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5F74257B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33" w:name="bookmark51"/>
      <w:bookmarkStart w:id="34" w:name="bookmark52"/>
      <w:bookmarkEnd w:id="33"/>
      <w:bookmarkEnd w:id="34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սուբյեկտիվ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կողմը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դրա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պարտադիր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ֆակուլտատիվ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հատկանիշները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5CEBBC6" w14:textId="4186B7AE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35" w:name="bookmark53"/>
      <w:bookmarkEnd w:id="35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Դիտավորությունը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="0099602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սուբյեկտիվ</w:t>
      </w:r>
      <w:proofErr w:type="spellEnd"/>
      <w:r w:rsidR="0099602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կողմի</w:t>
      </w:r>
      <w:proofErr w:type="spellEnd"/>
      <w:r w:rsidR="0099602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պարտադիր</w:t>
      </w:r>
      <w:proofErr w:type="spellEnd"/>
      <w:r w:rsidR="0099602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հատկանիշ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դրա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67065778" w14:textId="2643DA7F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36" w:name="bookmark54"/>
      <w:bookmarkEnd w:id="36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Անզգուշությունը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 w:rsidRPr="002D7A5C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="0099602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="00996023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սուբյեկտիվ</w:t>
      </w:r>
      <w:proofErr w:type="spellEnd"/>
      <w:r w:rsidR="0099602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կողմի</w:t>
      </w:r>
      <w:proofErr w:type="spellEnd"/>
      <w:r w:rsidR="0099602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պարտադիր</w:t>
      </w:r>
      <w:proofErr w:type="spellEnd"/>
      <w:r w:rsidR="0099602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96023">
        <w:rPr>
          <w:rFonts w:ascii="GHEA Grapalat" w:hAnsi="GHEA Grapalat"/>
          <w:color w:val="000000"/>
          <w:sz w:val="24"/>
          <w:szCs w:val="24"/>
        </w:rPr>
        <w:t>հատկանիշ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դրա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9568DCD" w14:textId="39BEF649" w:rsidR="009D4DC2" w:rsidRPr="00996023" w:rsidRDefault="00996023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996023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99602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96023">
        <w:rPr>
          <w:rFonts w:ascii="GHEA Grapalat" w:hAnsi="GHEA Grapalat"/>
          <w:color w:val="000000"/>
          <w:sz w:val="24"/>
          <w:szCs w:val="24"/>
        </w:rPr>
        <w:t>շարժառիթը</w:t>
      </w:r>
      <w:proofErr w:type="spellEnd"/>
      <w:r w:rsidRPr="00996023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96023">
        <w:rPr>
          <w:rFonts w:ascii="GHEA Grapalat" w:hAnsi="GHEA Grapalat"/>
          <w:color w:val="000000"/>
          <w:sz w:val="24"/>
          <w:szCs w:val="24"/>
        </w:rPr>
        <w:t>նպատակը</w:t>
      </w:r>
      <w:proofErr w:type="spellEnd"/>
      <w:r w:rsidRPr="00996023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996023">
        <w:rPr>
          <w:rFonts w:ascii="GHEA Grapalat" w:hAnsi="GHEA Grapalat"/>
          <w:color w:val="000000"/>
          <w:sz w:val="24"/>
          <w:szCs w:val="24"/>
        </w:rPr>
        <w:t>հույզերը</w:t>
      </w:r>
      <w:proofErr w:type="spellEnd"/>
      <w:r w:rsidRPr="00996023">
        <w:rPr>
          <w:rFonts w:ascii="GHEA Grapalat" w:hAnsi="GHEA Grapalat"/>
          <w:color w:val="000000"/>
          <w:sz w:val="24"/>
          <w:szCs w:val="24"/>
        </w:rPr>
        <w:t>.</w:t>
      </w:r>
    </w:p>
    <w:p w14:paraId="088AF14E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37" w:name="bookmark56"/>
      <w:bookmarkEnd w:id="37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Սխալը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դրա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քրեաիրավական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նշանակությունը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5557EC51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38" w:name="bookmark57"/>
      <w:bookmarkEnd w:id="38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Հանցափորձը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դրա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2911B4FF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39" w:name="bookmark58"/>
      <w:bookmarkEnd w:id="39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նախապատրաստությունը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27595EC0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40" w:name="bookmark59"/>
      <w:bookmarkEnd w:id="4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Հանցագործությունից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կամովին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հրաժարվելը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2A94A380" w14:textId="77777777" w:rsidR="003D1220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41" w:name="bookmark60"/>
      <w:bookmarkEnd w:id="41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Հանցակցության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ձևերը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42" w:name="bookmark61"/>
      <w:bookmarkEnd w:id="42"/>
      <w:r w:rsidR="003D1220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23511E5F" w14:textId="65F8A49D" w:rsidR="009D4DC2" w:rsidRPr="007417E0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Հանցակիցների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43" w:name="bookmark62"/>
      <w:bookmarkEnd w:id="43"/>
      <w:r w:rsidR="003D1220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Հանցակիցների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պատասխանատվությունը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հանցակցի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սահմանազանցումը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ECFF57A" w14:textId="780D292D" w:rsidR="00863DE6" w:rsidRPr="002D7A5C" w:rsidRDefault="00863DE6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Հանցագործությունների բազմակիությունը</w:t>
      </w:r>
    </w:p>
    <w:p w14:paraId="7A06F72D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44" w:name="bookmark63"/>
      <w:bookmarkEnd w:id="44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Անհրաժեշտ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պաշտպանություն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իրավաչափության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պայմանները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845834A" w14:textId="37BB6A7D" w:rsidR="003D1220" w:rsidRPr="002D7A5C" w:rsidRDefault="006B7B74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45" w:name="bookmark64"/>
      <w:bookmarkEnd w:id="45"/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Հակաիրավական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ոտնձգություն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կատարած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անձին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բռնելիս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վնաս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պատճառելը</w:t>
      </w:r>
      <w:proofErr w:type="spellEnd"/>
      <w:r w:rsidR="009D4DC2" w:rsidRPr="002D7A5C">
        <w:rPr>
          <w:rFonts w:ascii="GHEA Grapalat" w:hAnsi="GHEA Grapalat"/>
          <w:b/>
          <w:bCs/>
          <w:color w:val="000000"/>
          <w:sz w:val="24"/>
          <w:szCs w:val="24"/>
        </w:rPr>
        <w:t>.</w:t>
      </w:r>
      <w:r w:rsidR="009D4DC2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D4DC2"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9D4DC2" w:rsidRPr="002D7A5C">
        <w:rPr>
          <w:rFonts w:ascii="GHEA Grapalat" w:hAnsi="GHEA Grapalat"/>
          <w:color w:val="000000"/>
          <w:sz w:val="24"/>
          <w:szCs w:val="24"/>
        </w:rPr>
        <w:t>իրավաչափության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D4DC2" w:rsidRPr="002D7A5C">
        <w:rPr>
          <w:rFonts w:ascii="GHEA Grapalat" w:hAnsi="GHEA Grapalat"/>
          <w:color w:val="000000"/>
          <w:sz w:val="24"/>
          <w:szCs w:val="24"/>
        </w:rPr>
        <w:t>պայմանները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46" w:name="bookmark65"/>
      <w:bookmarkEnd w:id="46"/>
    </w:p>
    <w:p w14:paraId="1DCA9729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Ծայրահեղ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ab/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անհրաժեշտությունը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r w:rsidR="001B41AC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D1220" w:rsidRPr="002D7A5C">
        <w:rPr>
          <w:rFonts w:ascii="GHEA Grapalat" w:hAnsi="GHEA Grapalat"/>
          <w:color w:val="000000"/>
          <w:sz w:val="24"/>
          <w:szCs w:val="24"/>
        </w:rPr>
        <w:t>Հ</w:t>
      </w:r>
      <w:r w:rsidRPr="002D7A5C">
        <w:rPr>
          <w:rFonts w:ascii="GHEA Grapalat" w:hAnsi="GHEA Grapalat"/>
          <w:color w:val="000000"/>
          <w:sz w:val="24"/>
          <w:szCs w:val="24"/>
        </w:rPr>
        <w:t>ասկացությունը</w:t>
      </w:r>
      <w:proofErr w:type="spellEnd"/>
      <w:r w:rsidR="001B41AC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D7A5C"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իրավաչափության</w:t>
      </w:r>
      <w:proofErr w:type="spellEnd"/>
      <w:r w:rsidR="003D1220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պայմանները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015BB51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47" w:name="bookmark66"/>
      <w:bookmarkStart w:id="48" w:name="bookmark69"/>
      <w:bookmarkEnd w:id="47"/>
      <w:bookmarkEnd w:id="48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պատասխանատվությունից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ազատելու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հիմքերը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5CBFC779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49" w:name="bookmark70"/>
      <w:bookmarkStart w:id="50" w:name="bookmark71"/>
      <w:bookmarkEnd w:id="49"/>
      <w:bookmarkEnd w:id="5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lastRenderedPageBreak/>
        <w:t>Համաներում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ներում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4545DE0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51" w:name="bookmark72"/>
      <w:bookmarkStart w:id="52" w:name="bookmark73"/>
      <w:bookmarkStart w:id="53" w:name="bookmark75"/>
      <w:bookmarkStart w:id="54" w:name="bookmark76"/>
      <w:bookmarkStart w:id="55" w:name="bookmark79"/>
      <w:bookmarkStart w:id="56" w:name="bookmark80"/>
      <w:bookmarkStart w:id="57" w:name="bookmark81"/>
      <w:bookmarkStart w:id="58" w:name="bookmark82"/>
      <w:bookmarkStart w:id="59" w:name="bookmark84"/>
      <w:bookmarkStart w:id="60" w:name="bookmark85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Խարդախության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քրեաիրավական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բնութագիրը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3A23795" w14:textId="0567383B" w:rsidR="009D4DC2" w:rsidRPr="002D7A5C" w:rsidRDefault="002A1341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61" w:name="bookmark86"/>
      <w:bookmarkStart w:id="62" w:name="bookmark87"/>
      <w:bookmarkEnd w:id="61"/>
      <w:bookmarkEnd w:id="62"/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Վստահված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գույքը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հափշտակելու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4DC2" w:rsidRPr="002D7A5C">
        <w:rPr>
          <w:rFonts w:ascii="GHEA Grapalat" w:hAnsi="GHEA Grapalat"/>
          <w:color w:val="000000"/>
          <w:sz w:val="24"/>
          <w:szCs w:val="24"/>
        </w:rPr>
        <w:t>քրեաիրավական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D4DC2" w:rsidRPr="002D7A5C">
        <w:rPr>
          <w:rFonts w:ascii="GHEA Grapalat" w:hAnsi="GHEA Grapalat"/>
          <w:color w:val="000000"/>
          <w:sz w:val="24"/>
          <w:szCs w:val="24"/>
        </w:rPr>
        <w:t>բնութագիրը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13B4DD5" w14:textId="4F226434" w:rsidR="009D4DC2" w:rsidRPr="002D7A5C" w:rsidRDefault="002A1341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63" w:name="bookmark88"/>
      <w:bookmarkEnd w:id="63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Փ</w:t>
      </w:r>
      <w:r w:rsidR="009D4DC2" w:rsidRPr="002D7A5C">
        <w:rPr>
          <w:rFonts w:ascii="GHEA Grapalat" w:hAnsi="GHEA Grapalat"/>
          <w:color w:val="000000"/>
          <w:sz w:val="24"/>
          <w:szCs w:val="24"/>
        </w:rPr>
        <w:t>ողերի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D4DC2" w:rsidRPr="002D7A5C">
        <w:rPr>
          <w:rFonts w:ascii="GHEA Grapalat" w:hAnsi="GHEA Grapalat"/>
          <w:color w:val="000000"/>
          <w:sz w:val="24"/>
          <w:szCs w:val="24"/>
        </w:rPr>
        <w:t>լվացումը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A86C2EB" w14:textId="14F80E2F" w:rsidR="009D4DC2" w:rsidRPr="002D7A5C" w:rsidRDefault="002A1341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64" w:name="bookmark89"/>
      <w:bookmarkStart w:id="65" w:name="bookmark93"/>
      <w:bookmarkStart w:id="66" w:name="bookmark95"/>
      <w:bookmarkStart w:id="67" w:name="bookmark97"/>
      <w:bookmarkStart w:id="68" w:name="bookmark99"/>
      <w:bookmarkStart w:id="69" w:name="bookmark101"/>
      <w:bookmarkEnd w:id="64"/>
      <w:bookmarkEnd w:id="65"/>
      <w:bookmarkEnd w:id="66"/>
      <w:bookmarkEnd w:id="67"/>
      <w:bookmarkEnd w:id="68"/>
      <w:bookmarkEnd w:id="69"/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Ընտրակաշառք</w:t>
      </w:r>
      <w:proofErr w:type="spellEnd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տալը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5EF086F0" w14:textId="77777777" w:rsidR="002A1341" w:rsidRPr="002D7A5C" w:rsidRDefault="002A1341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sz w:val="24"/>
          <w:szCs w:val="24"/>
        </w:rPr>
        <w:t>Ընտրակաշառք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ստանալը</w:t>
      </w:r>
      <w:proofErr w:type="spellEnd"/>
      <w:r w:rsidRPr="002D7A5C">
        <w:rPr>
          <w:rFonts w:ascii="GHEA Grapalat" w:hAnsi="GHEA Grapalat"/>
          <w:sz w:val="24"/>
          <w:szCs w:val="24"/>
        </w:rPr>
        <w:t>.</w:t>
      </w:r>
    </w:p>
    <w:p w14:paraId="4C758FA9" w14:textId="77777777" w:rsidR="00D26459" w:rsidRPr="002D7A5C" w:rsidRDefault="00D26459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sz w:val="24"/>
          <w:szCs w:val="24"/>
        </w:rPr>
        <w:t>Հանրաքվեի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ընտրության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ժամանակ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բարեգործության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արգելքը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խախտելը</w:t>
      </w:r>
      <w:proofErr w:type="spellEnd"/>
      <w:r w:rsidRPr="002D7A5C">
        <w:rPr>
          <w:rFonts w:ascii="GHEA Grapalat" w:hAnsi="GHEA Grapalat"/>
          <w:sz w:val="24"/>
          <w:szCs w:val="24"/>
        </w:rPr>
        <w:t>.</w:t>
      </w:r>
    </w:p>
    <w:p w14:paraId="55152481" w14:textId="77777777" w:rsidR="00D26459" w:rsidRPr="002D7A5C" w:rsidRDefault="00D26459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sz w:val="24"/>
          <w:szCs w:val="24"/>
        </w:rPr>
        <w:t>Ընտրական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հանրաքվեին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իրավունքի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իրականացումը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sz w:val="24"/>
          <w:szCs w:val="24"/>
        </w:rPr>
        <w:t>ընտրական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հանձնաժողովների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աշխատանքներին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ընտրությանը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հանրաքվեին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մասնակցող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անձանց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իրավունքների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պարտականությունների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իրականացումը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խոչընդոտելը</w:t>
      </w:r>
      <w:proofErr w:type="spellEnd"/>
      <w:r w:rsidRPr="002D7A5C">
        <w:rPr>
          <w:rFonts w:ascii="GHEA Grapalat" w:hAnsi="GHEA Grapalat"/>
          <w:sz w:val="24"/>
          <w:szCs w:val="24"/>
        </w:rPr>
        <w:t>.</w:t>
      </w:r>
    </w:p>
    <w:p w14:paraId="27264819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70" w:name="bookmark102"/>
      <w:bookmarkEnd w:id="7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Ընտրակաշառքի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միջնորդությունը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2A8BBC1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71" w:name="bookmark103"/>
      <w:bookmarkStart w:id="72" w:name="bookmark104"/>
      <w:bookmarkEnd w:id="71"/>
      <w:bookmarkEnd w:id="72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Ապօրինի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հարստանալը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1E379855" w14:textId="6876CC73" w:rsidR="009D4DC2" w:rsidRPr="002D7A5C" w:rsidRDefault="00D26459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73" w:name="bookmark105"/>
      <w:bookmarkEnd w:id="73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օրենսդրությամբ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հայտարարագիր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ներկայացնելու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պարտականություն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ունեցող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հայտարարագրում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կեղծ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տվյալներ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ներկայացնելը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հայտարարագրման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ենթակա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տվյալները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թաքցնելը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հայտարարագիր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չներկայացնելը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6923D938" w14:textId="151BF6A7" w:rsidR="009D4DC2" w:rsidRPr="002D7A5C" w:rsidRDefault="00D26459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74" w:name="bookmark106"/>
      <w:bookmarkStart w:id="75" w:name="bookmark107"/>
      <w:bookmarkEnd w:id="74"/>
      <w:bookmarkEnd w:id="75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Պաշտոնատար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իշխանական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ծառայողական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լիազորությունները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դրանցով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պայմանավորված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ազդեցությունը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չարաշահելը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լիազորություններն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անցնելը</w:t>
      </w:r>
      <w:proofErr w:type="spellEnd"/>
      <w:r w:rsidR="009D4DC2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1F512F35" w14:textId="77777777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76" w:name="bookmark108"/>
      <w:bookmarkStart w:id="77" w:name="bookmark109"/>
      <w:bookmarkEnd w:id="76"/>
      <w:bookmarkEnd w:id="77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Կաշառք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ստանալը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78" w:name="bookmark110"/>
      <w:bookmarkEnd w:id="78"/>
      <w:r w:rsidR="001B41AC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Կաշառք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տալը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79" w:name="bookmark111"/>
      <w:bookmarkEnd w:id="79"/>
      <w:r w:rsidR="001B41AC"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Կաշառքի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միջնորդությունը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88CD362" w14:textId="77777777" w:rsidR="003D1220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80" w:name="bookmark112"/>
      <w:bookmarkEnd w:id="8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Պաշտոնեական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կեղծիքը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81" w:name="bookmark113"/>
      <w:bookmarkStart w:id="82" w:name="bookmark114"/>
      <w:bookmarkEnd w:id="81"/>
      <w:bookmarkEnd w:id="82"/>
    </w:p>
    <w:p w14:paraId="1D9602E3" w14:textId="5827C16C" w:rsidR="009D4DC2" w:rsidRPr="002D7A5C" w:rsidRDefault="009D4DC2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83" w:name="bookmark115"/>
      <w:bookmarkStart w:id="84" w:name="bookmark116"/>
      <w:bookmarkStart w:id="85" w:name="bookmark117"/>
      <w:bookmarkEnd w:id="83"/>
      <w:bookmarkEnd w:id="84"/>
      <w:bookmarkEnd w:id="85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Սուտ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մատնությունը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769EDBE" w14:textId="70ED3F87" w:rsidR="002522D6" w:rsidRPr="002D7A5C" w:rsidRDefault="002522D6" w:rsidP="00900713">
      <w:pPr>
        <w:pStyle w:val="BodyText"/>
        <w:spacing w:line="276" w:lineRule="auto"/>
        <w:jc w:val="both"/>
        <w:rPr>
          <w:rFonts w:ascii="GHEA Grapalat" w:hAnsi="GHEA Grapalat"/>
          <w:b/>
          <w:color w:val="C00000"/>
          <w:sz w:val="24"/>
          <w:szCs w:val="24"/>
        </w:rPr>
      </w:pPr>
    </w:p>
    <w:p w14:paraId="1EF97F5B" w14:textId="77777777" w:rsidR="008E579C" w:rsidRPr="002D7A5C" w:rsidRDefault="008E579C" w:rsidP="00A23121">
      <w:pPr>
        <w:pStyle w:val="Heading10"/>
        <w:keepNext/>
        <w:keepLines/>
        <w:spacing w:after="140"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bookmarkStart w:id="86" w:name="bookmark118"/>
      <w:bookmarkStart w:id="87" w:name="bookmark120"/>
      <w:bookmarkStart w:id="88" w:name="bookmark121"/>
      <w:bookmarkStart w:id="89" w:name="bookmark128"/>
      <w:bookmarkStart w:id="90" w:name="bookmark129"/>
      <w:bookmarkStart w:id="91" w:name="bookmark130"/>
      <w:bookmarkEnd w:id="86"/>
      <w:bookmarkEnd w:id="87"/>
      <w:bookmarkEnd w:id="88"/>
      <w:bookmarkEnd w:id="89"/>
      <w:bookmarkEnd w:id="90"/>
      <w:bookmarkEnd w:id="91"/>
    </w:p>
    <w:p w14:paraId="64978512" w14:textId="77777777" w:rsidR="00DC71AF" w:rsidRPr="002D7A5C" w:rsidRDefault="00DC71AF" w:rsidP="00A23121">
      <w:pPr>
        <w:pStyle w:val="Heading10"/>
        <w:keepNext/>
        <w:keepLines/>
        <w:spacing w:after="140" w:line="276" w:lineRule="auto"/>
        <w:ind w:left="-567" w:firstLine="567"/>
        <w:jc w:val="center"/>
        <w:rPr>
          <w:rFonts w:ascii="GHEA Grapalat" w:hAnsi="GHEA Grapalat"/>
          <w:i w:val="0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i w:val="0"/>
          <w:color w:val="000000"/>
          <w:sz w:val="24"/>
          <w:szCs w:val="24"/>
        </w:rPr>
        <w:t>Հայաստանի</w:t>
      </w:r>
      <w:proofErr w:type="spellEnd"/>
      <w:r w:rsidRPr="002D7A5C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i w:val="0"/>
          <w:color w:val="000000"/>
          <w:sz w:val="24"/>
          <w:szCs w:val="24"/>
        </w:rPr>
        <w:t>Հանրապետության</w:t>
      </w:r>
      <w:proofErr w:type="spellEnd"/>
      <w:r w:rsidRPr="002D7A5C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i w:val="0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i w:val="0"/>
          <w:color w:val="000000"/>
          <w:sz w:val="24"/>
          <w:szCs w:val="24"/>
        </w:rPr>
        <w:t>դատավարության</w:t>
      </w:r>
      <w:proofErr w:type="spellEnd"/>
      <w:r w:rsidRPr="002D7A5C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i w:val="0"/>
          <w:color w:val="000000"/>
          <w:sz w:val="24"/>
          <w:szCs w:val="24"/>
        </w:rPr>
        <w:t>օրենսդրություն</w:t>
      </w:r>
      <w:proofErr w:type="spellEnd"/>
      <w:r w:rsidRPr="002D7A5C">
        <w:rPr>
          <w:rFonts w:ascii="GHEA Grapalat" w:hAnsi="GHEA Grapalat"/>
          <w:i w:val="0"/>
          <w:color w:val="000000"/>
          <w:sz w:val="24"/>
          <w:szCs w:val="24"/>
        </w:rPr>
        <w:t>.</w:t>
      </w:r>
      <w:bookmarkEnd w:id="3"/>
      <w:bookmarkEnd w:id="4"/>
      <w:bookmarkEnd w:id="5"/>
    </w:p>
    <w:p w14:paraId="23D8FA87" w14:textId="77777777" w:rsidR="00E200BB" w:rsidRPr="002D7A5C" w:rsidRDefault="00E200BB" w:rsidP="00A23121">
      <w:pPr>
        <w:pStyle w:val="Heading10"/>
        <w:keepNext/>
        <w:keepLines/>
        <w:spacing w:after="140"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</w:p>
    <w:p w14:paraId="560FD19A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92" w:name="bookmark135"/>
      <w:bookmarkStart w:id="93" w:name="bookmark136"/>
      <w:bookmarkStart w:id="94" w:name="bookmark137"/>
      <w:bookmarkStart w:id="95" w:name="bookmark138"/>
      <w:bookmarkStart w:id="96" w:name="bookmark139"/>
      <w:bookmarkEnd w:id="92"/>
      <w:bookmarkEnd w:id="93"/>
      <w:bookmarkEnd w:id="94"/>
      <w:bookmarkEnd w:id="95"/>
      <w:bookmarkEnd w:id="96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Դատախազը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սուբյեկտ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7E8E281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97" w:name="bookmark140"/>
      <w:bookmarkEnd w:id="97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Քննիչը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սուբյեկտ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C46355E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98" w:name="bookmark141"/>
      <w:bookmarkEnd w:id="98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Մեղադրյալը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սուբյեկտ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2C7A546E" w14:textId="360F54C1" w:rsidR="00DC71AF" w:rsidRPr="002D7A5C" w:rsidRDefault="00C4178B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99" w:name="bookmark142"/>
      <w:bookmarkEnd w:id="99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վարույթին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պաշտպանի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մասնակցության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հիմքերը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պայմանները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00" w:name="bookmark143"/>
      <w:bookmarkEnd w:id="100"/>
      <w:r w:rsidR="00485709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Պաշտպանի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պարտադիր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մասնակցությունը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6C05CE69" w14:textId="4E2D993C" w:rsidR="00DC71AF" w:rsidRPr="007417E0" w:rsidRDefault="00C4178B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01" w:name="bookmark144"/>
      <w:bookmarkEnd w:id="101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Փ</w:t>
      </w:r>
      <w:r w:rsidR="00DC71AF" w:rsidRPr="002D7A5C">
        <w:rPr>
          <w:rFonts w:ascii="GHEA Grapalat" w:hAnsi="GHEA Grapalat"/>
          <w:color w:val="000000"/>
          <w:sz w:val="24"/>
          <w:szCs w:val="24"/>
        </w:rPr>
        <w:t>որձագետը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դատավարությունում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65C7687" w14:textId="70237BCF" w:rsidR="00B1396E" w:rsidRPr="002D7A5C" w:rsidRDefault="00B1396E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Ինքնաբացարկը, բացարկը կամ վարույթին մասնակցելուց ազատելը</w:t>
      </w:r>
    </w:p>
    <w:p w14:paraId="35CC72CE" w14:textId="6A8AB70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02" w:name="bookmark145"/>
      <w:bookmarkEnd w:id="102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lastRenderedPageBreak/>
        <w:t>Անձինք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որոնք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չեն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հարցաքննվել</w:t>
      </w:r>
      <w:proofErr w:type="spellEnd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որպես</w:t>
      </w:r>
      <w:proofErr w:type="spellEnd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վկա</w:t>
      </w:r>
      <w:proofErr w:type="spellEnd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առարկաներ</w:t>
      </w:r>
      <w:proofErr w:type="spellEnd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</w:t>
      </w:r>
      <w:proofErr w:type="spellEnd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</w:t>
      </w:r>
      <w:proofErr w:type="spellEnd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C238C" w:rsidRPr="002D7A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ներկայացնել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F5D0899" w14:textId="6567AA86" w:rsidR="00DC71AF" w:rsidRPr="007417E0" w:rsidRDefault="000C238C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03" w:name="bookmark146"/>
      <w:bookmarkEnd w:id="103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Միջնորդության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հարուցումը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լուծումը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5505B2B1" w14:textId="399F6939" w:rsidR="00DA6231" w:rsidRPr="002D7A5C" w:rsidRDefault="00DA6231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Բողոքարկումը քրեական դատավարությունում</w:t>
      </w:r>
    </w:p>
    <w:p w14:paraId="2F1FC587" w14:textId="56782B15" w:rsidR="00DC71AF" w:rsidRPr="002D7A5C" w:rsidRDefault="00485709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04" w:name="bookmark147"/>
      <w:bookmarkEnd w:id="104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Ապացույցի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05" w:name="bookmark148"/>
      <w:bookmarkEnd w:id="105"/>
      <w:r w:rsidR="00E200BB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Ապացույցների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թույլատրելիությունը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վերաբերելիությունը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5A5D29" w:rsidRPr="002D7A5C">
        <w:rPr>
          <w:rFonts w:ascii="GHEA Grapalat" w:hAnsi="GHEA Grapalat"/>
          <w:color w:val="000000"/>
          <w:sz w:val="24"/>
          <w:szCs w:val="24"/>
        </w:rPr>
        <w:t>պատշաճ</w:t>
      </w:r>
      <w:proofErr w:type="spellEnd"/>
      <w:r w:rsidR="005A5D29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A5D29" w:rsidRPr="002D7A5C">
        <w:rPr>
          <w:rFonts w:ascii="GHEA Grapalat" w:hAnsi="GHEA Grapalat"/>
          <w:color w:val="000000"/>
          <w:sz w:val="24"/>
          <w:szCs w:val="24"/>
        </w:rPr>
        <w:t>ապացուցումը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0E98DE7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06" w:name="bookmark149"/>
      <w:bookmarkEnd w:id="106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Ապացուցման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ենթակա</w:t>
      </w:r>
      <w:proofErr w:type="spellEnd"/>
      <w:r w:rsidR="005A5D29" w:rsidRPr="002D7A5C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A5D29" w:rsidRPr="002D7A5C">
        <w:rPr>
          <w:rFonts w:ascii="GHEA Grapalat" w:hAnsi="GHEA Grapalat"/>
          <w:color w:val="000000"/>
          <w:sz w:val="24"/>
          <w:szCs w:val="24"/>
        </w:rPr>
        <w:t>փաստական</w:t>
      </w:r>
      <w:proofErr w:type="spellEnd"/>
      <w:r w:rsidR="005A5D29" w:rsidRPr="002D7A5C">
        <w:rPr>
          <w:rFonts w:ascii="Calibri" w:hAnsi="Calibri" w:cs="Calibri"/>
          <w:color w:val="000000"/>
          <w:sz w:val="24"/>
          <w:szCs w:val="24"/>
        </w:rPr>
        <w:t> </w:t>
      </w:r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հանգամանքները</w:t>
      </w:r>
      <w:proofErr w:type="spellEnd"/>
      <w:proofErr w:type="gram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AF5CA28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07" w:name="bookmark150"/>
      <w:bookmarkEnd w:id="107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Վկայի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տուժողի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ցուցմունքները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52594875" w14:textId="42BCCAC9" w:rsidR="00DC71AF" w:rsidRPr="002D7A5C" w:rsidRDefault="005A5D29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08" w:name="bookmark151"/>
      <w:bookmarkEnd w:id="108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Ձերբակալվածի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</w:t>
      </w:r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մեղադրյալի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ցուցմունքները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63D87DF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09" w:name="bookmark152"/>
      <w:bookmarkEnd w:id="109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Իրեղեն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ապացույցի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19247E9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10" w:name="bookmark153"/>
      <w:bookmarkEnd w:id="11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Ձերբակալման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11" w:name="bookmark154"/>
      <w:bookmarkEnd w:id="111"/>
      <w:r w:rsidR="00E200BB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Ձերբակալման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հիմքերն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ժամկետները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23DD7D94" w14:textId="5FBC612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12" w:name="bookmark155"/>
      <w:bookmarkEnd w:id="112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Խափանման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միջոցների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13" w:name="bookmark156"/>
      <w:bookmarkEnd w:id="113"/>
      <w:r w:rsidR="00E200BB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Խափանման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միջոցների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կիրառման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FD14A7" w:rsidRPr="002D7A5C">
        <w:rPr>
          <w:rFonts w:ascii="GHEA Grapalat" w:hAnsi="GHEA Grapalat"/>
          <w:color w:val="000000"/>
          <w:sz w:val="24"/>
          <w:szCs w:val="24"/>
        </w:rPr>
        <w:t>իրավաչափությունը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32758A2" w14:textId="27EFAB4E" w:rsidR="00DC71AF" w:rsidRPr="002D7A5C" w:rsidRDefault="00FD14A7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14" w:name="bookmark157"/>
      <w:bookmarkEnd w:id="114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Կալանքը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խափանման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միջոց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իրավաչափության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առանձնահատկությունները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ժամկետները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177FE55E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15" w:name="bookmark158"/>
      <w:bookmarkEnd w:id="115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Գրավը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ինքնուրույն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խափանման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միջոց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Էությունը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կիրառման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հիմքերը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2A485CBF" w14:textId="66CD0A8C" w:rsidR="00493503" w:rsidRPr="002D7A5C" w:rsidRDefault="00493503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16" w:name="bookmark159"/>
      <w:bookmarkEnd w:id="116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Այլընտրանքային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խափանման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միջոցները</w:t>
      </w:r>
      <w:proofErr w:type="spellEnd"/>
      <w:r w:rsidRPr="002D7A5C" w:rsidDel="00493503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D7A5C">
        <w:rPr>
          <w:rFonts w:ascii="GHEA Grapalat" w:hAnsi="GHEA Grapalat"/>
          <w:color w:val="000000"/>
          <w:sz w:val="24"/>
          <w:szCs w:val="24"/>
        </w:rPr>
        <w:t>(</w:t>
      </w:r>
      <w:proofErr w:type="spellStart"/>
      <w:r w:rsidR="005C6F41" w:rsidRPr="002D7A5C">
        <w:rPr>
          <w:rFonts w:ascii="GHEA Grapalat" w:hAnsi="GHEA Grapalat"/>
          <w:b/>
          <w:bCs/>
          <w:color w:val="000000" w:themeColor="text1"/>
          <w:sz w:val="24"/>
          <w:szCs w:val="24"/>
        </w:rPr>
        <w:t>պաշտոնավարման</w:t>
      </w:r>
      <w:proofErr w:type="spellEnd"/>
      <w:r w:rsidR="005C6F41" w:rsidRPr="002D7A5C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C6F41" w:rsidRPr="002D7A5C">
        <w:rPr>
          <w:rFonts w:ascii="GHEA Grapalat" w:hAnsi="GHEA Grapalat"/>
          <w:b/>
          <w:bCs/>
          <w:color w:val="000000" w:themeColor="text1"/>
          <w:sz w:val="24"/>
          <w:szCs w:val="24"/>
        </w:rPr>
        <w:t>կասեցում</w:t>
      </w:r>
      <w:proofErr w:type="spellEnd"/>
      <w:r w:rsidR="005C6F41" w:rsidRPr="002D7A5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,</w:t>
      </w:r>
      <w:r w:rsidR="005C6F41" w:rsidRPr="002D7A5C">
        <w:rPr>
          <w:rFonts w:ascii="GHEA Grapalat" w:hAnsi="GHEA Grapalat"/>
          <w:color w:val="C00000"/>
          <w:sz w:val="24"/>
          <w:szCs w:val="24"/>
          <w:lang w:val="hy-AM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բացակայելու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արգելք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,</w:t>
      </w:r>
      <w:r w:rsidRPr="002D7A5C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երաշխավորություն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,</w:t>
      </w:r>
      <w:r w:rsidRPr="002D7A5C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դաստիարակչական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հսկողություն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,</w:t>
      </w:r>
      <w:r w:rsidRPr="002D7A5C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զինվորական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հսկողություն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).</w:t>
      </w:r>
    </w:p>
    <w:p w14:paraId="628862DF" w14:textId="23B3929B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17" w:name="bookmark160"/>
      <w:bookmarkStart w:id="118" w:name="bookmark161"/>
      <w:bookmarkEnd w:id="117"/>
      <w:bookmarkEnd w:id="118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121F1" w:rsidRPr="002D7A5C">
        <w:rPr>
          <w:rFonts w:ascii="GHEA Grapalat" w:hAnsi="GHEA Grapalat"/>
          <w:color w:val="000000"/>
          <w:sz w:val="24"/>
          <w:szCs w:val="24"/>
        </w:rPr>
        <w:t>վարույթ</w:t>
      </w:r>
      <w:proofErr w:type="spellEnd"/>
      <w:r w:rsidR="008121F1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121F1" w:rsidRPr="002D7A5C">
        <w:rPr>
          <w:rFonts w:ascii="GHEA Grapalat" w:hAnsi="GHEA Grapalat"/>
          <w:color w:val="000000"/>
          <w:sz w:val="24"/>
          <w:szCs w:val="24"/>
        </w:rPr>
        <w:t>նախաձեռնելը</w:t>
      </w:r>
      <w:proofErr w:type="spellEnd"/>
      <w:r w:rsidR="008121F1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D7A5C"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հիմքերը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2545F435" w14:textId="22D96D4C" w:rsidR="00DC71AF" w:rsidRPr="002D7A5C" w:rsidRDefault="008121F1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bookmarkStart w:id="119" w:name="bookmark162"/>
      <w:bookmarkEnd w:id="119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հետապնդումը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բացառող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հանգամանքները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7B65E03" w14:textId="40B6D09F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bookmarkStart w:id="120" w:name="bookmark163"/>
      <w:bookmarkEnd w:id="12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121F1" w:rsidRPr="002D7A5C">
        <w:rPr>
          <w:rFonts w:ascii="GHEA Grapalat" w:hAnsi="GHEA Grapalat"/>
          <w:color w:val="000000"/>
          <w:sz w:val="24"/>
          <w:szCs w:val="24"/>
        </w:rPr>
        <w:t>վարույթների</w:t>
      </w:r>
      <w:proofErr w:type="spellEnd"/>
      <w:r w:rsidR="008121F1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միացումը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անջատումը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A415AE0" w14:textId="74F36930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21" w:name="bookmark164"/>
      <w:bookmarkEnd w:id="121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121F1" w:rsidRPr="002D7A5C">
        <w:rPr>
          <w:rFonts w:ascii="GHEA Grapalat" w:hAnsi="GHEA Grapalat"/>
          <w:color w:val="000000"/>
          <w:sz w:val="24"/>
          <w:szCs w:val="24"/>
        </w:rPr>
        <w:t>վարույթ</w:t>
      </w:r>
      <w:proofErr w:type="spellEnd"/>
      <w:r w:rsidR="008121F1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8121F1" w:rsidRPr="002D7A5C">
        <w:rPr>
          <w:rFonts w:ascii="GHEA Grapalat" w:hAnsi="GHEA Grapalat"/>
          <w:color w:val="000000"/>
          <w:sz w:val="24"/>
          <w:szCs w:val="24"/>
        </w:rPr>
        <w:t>նախ</w:t>
      </w:r>
      <w:proofErr w:type="spellEnd"/>
      <w:r w:rsidR="00977A57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="008121F1" w:rsidRPr="002D7A5C">
        <w:rPr>
          <w:rFonts w:ascii="GHEA Grapalat" w:hAnsi="GHEA Grapalat"/>
          <w:color w:val="000000"/>
          <w:sz w:val="24"/>
          <w:szCs w:val="24"/>
        </w:rPr>
        <w:t>ձեռնելու</w:t>
      </w:r>
      <w:proofErr w:type="spellEnd"/>
      <w:r w:rsidR="008121F1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="008121F1"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8121F1" w:rsidRPr="002D7A5C">
        <w:rPr>
          <w:rFonts w:ascii="GHEA Grapalat" w:hAnsi="GHEA Grapalat"/>
          <w:sz w:val="24"/>
          <w:szCs w:val="24"/>
        </w:rPr>
        <w:t>քրեական</w:t>
      </w:r>
      <w:proofErr w:type="spellEnd"/>
      <w:r w:rsidR="008121F1"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1F1" w:rsidRPr="002D7A5C">
        <w:rPr>
          <w:rFonts w:ascii="GHEA Grapalat" w:hAnsi="GHEA Grapalat"/>
          <w:sz w:val="24"/>
          <w:szCs w:val="24"/>
        </w:rPr>
        <w:t>վարույթ</w:t>
      </w:r>
      <w:proofErr w:type="spellEnd"/>
      <w:r w:rsidR="008121F1"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1F1" w:rsidRPr="002D7A5C">
        <w:rPr>
          <w:rFonts w:ascii="GHEA Grapalat" w:hAnsi="GHEA Grapalat"/>
          <w:sz w:val="24"/>
          <w:szCs w:val="24"/>
        </w:rPr>
        <w:t>չնախաձեռնելը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22" w:name="bookmark165"/>
      <w:bookmarkEnd w:id="122"/>
      <w:r w:rsidR="00E200BB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4536" w:rsidRPr="002D7A5C">
        <w:rPr>
          <w:rFonts w:ascii="GHEA Grapalat" w:hAnsi="GHEA Grapalat"/>
          <w:color w:val="000000"/>
          <w:sz w:val="24"/>
          <w:szCs w:val="24"/>
        </w:rPr>
        <w:t>Օպերատիվ-հետախուզական</w:t>
      </w:r>
      <w:proofErr w:type="spellEnd"/>
      <w:r w:rsidR="00B04536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4536" w:rsidRPr="002D7A5C">
        <w:rPr>
          <w:rFonts w:ascii="GHEA Grapalat" w:hAnsi="GHEA Grapalat"/>
          <w:color w:val="000000"/>
          <w:sz w:val="24"/>
          <w:szCs w:val="24"/>
        </w:rPr>
        <w:t>գործունեություն</w:t>
      </w:r>
      <w:proofErr w:type="spellEnd"/>
      <w:r w:rsidR="00B04536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4536" w:rsidRPr="002D7A5C">
        <w:rPr>
          <w:rFonts w:ascii="GHEA Grapalat" w:hAnsi="GHEA Grapalat"/>
          <w:color w:val="000000"/>
          <w:sz w:val="24"/>
          <w:szCs w:val="24"/>
        </w:rPr>
        <w:t>իրականացնող</w:t>
      </w:r>
      <w:proofErr w:type="spellEnd"/>
      <w:r w:rsidR="00B04536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4536" w:rsidRPr="002D7A5C">
        <w:rPr>
          <w:rFonts w:ascii="GHEA Grapalat" w:hAnsi="GHEA Grapalat"/>
          <w:color w:val="000000"/>
          <w:sz w:val="24"/>
          <w:szCs w:val="24"/>
        </w:rPr>
        <w:t>մարմնի</w:t>
      </w:r>
      <w:proofErr w:type="spellEnd"/>
      <w:r w:rsidR="00B04536"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B04536" w:rsidRPr="002D7A5C">
        <w:rPr>
          <w:rFonts w:ascii="GHEA Grapalat" w:hAnsi="GHEA Grapalat"/>
          <w:color w:val="000000"/>
          <w:sz w:val="24"/>
          <w:szCs w:val="24"/>
        </w:rPr>
        <w:t>քննիչի</w:t>
      </w:r>
      <w:proofErr w:type="spellEnd"/>
      <w:r w:rsidR="00B04536"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B04536" w:rsidRPr="002D7A5C">
        <w:rPr>
          <w:rFonts w:ascii="GHEA Grapalat" w:hAnsi="GHEA Grapalat"/>
          <w:color w:val="000000"/>
          <w:sz w:val="24"/>
          <w:szCs w:val="24"/>
        </w:rPr>
        <w:t>դատախազի</w:t>
      </w:r>
      <w:proofErr w:type="spellEnd"/>
      <w:r w:rsidR="00B04536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4536" w:rsidRPr="002D7A5C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="00B04536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4536" w:rsidRPr="002D7A5C">
        <w:rPr>
          <w:rFonts w:ascii="GHEA Grapalat" w:hAnsi="GHEA Grapalat"/>
          <w:color w:val="000000"/>
          <w:sz w:val="24"/>
          <w:szCs w:val="24"/>
        </w:rPr>
        <w:t>դատավորի</w:t>
      </w:r>
      <w:proofErr w:type="spellEnd"/>
      <w:r w:rsidR="00B04536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04536" w:rsidRPr="002D7A5C">
        <w:rPr>
          <w:rFonts w:ascii="GHEA Grapalat" w:hAnsi="GHEA Grapalat"/>
          <w:color w:val="000000"/>
          <w:sz w:val="24"/>
          <w:szCs w:val="24"/>
        </w:rPr>
        <w:t>հաղորդումը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8482FA6" w14:textId="05FCF765" w:rsidR="00DC71AF" w:rsidRPr="002D7A5C" w:rsidRDefault="00B04536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23" w:name="bookmark166"/>
      <w:bookmarkEnd w:id="123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Մինչդատական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վարույթի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պայմանները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24" w:name="bookmark167"/>
      <w:bookmarkStart w:id="125" w:name="bookmark168"/>
      <w:bookmarkStart w:id="126" w:name="bookmark169"/>
      <w:bookmarkEnd w:id="124"/>
      <w:bookmarkEnd w:id="125"/>
      <w:bookmarkEnd w:id="126"/>
      <w:r w:rsidR="00485709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Քննչական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ենթակայություն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458B8EA" w14:textId="498B44AB" w:rsidR="00DC71AF" w:rsidRPr="002D7A5C" w:rsidRDefault="00B04536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27" w:name="bookmark170"/>
      <w:bookmarkEnd w:id="127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նկատմամբ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հետապնդումը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հարուցելու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հիմքը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28" w:name="bookmark171"/>
      <w:bookmarkEnd w:id="128"/>
      <w:r w:rsidR="00485709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Մեղադրանք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ներկայացնելու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էությունը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1ABAB909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29" w:name="bookmark172"/>
      <w:bookmarkEnd w:id="129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Քննչական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գործողությունների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կատարման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կանոնները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8594173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30" w:name="bookmark173"/>
      <w:bookmarkEnd w:id="13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Վկայի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տուժողի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հարցաքննության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63308E93" w14:textId="7C0F6C9E" w:rsidR="00E200BB" w:rsidRPr="002D7A5C" w:rsidRDefault="00B04536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31" w:name="bookmark174"/>
      <w:bookmarkStart w:id="132" w:name="bookmark175"/>
      <w:bookmarkEnd w:id="131"/>
      <w:bookmarkEnd w:id="132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Ձերբակալվածի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մեղադրյալի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հարցաքննության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էությունը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33" w:name="bookmark176"/>
      <w:bookmarkEnd w:id="133"/>
    </w:p>
    <w:p w14:paraId="58DA8746" w14:textId="77777777" w:rsidR="00E200BB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Զննության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34" w:name="bookmark177"/>
      <w:bookmarkEnd w:id="134"/>
    </w:p>
    <w:p w14:paraId="52847B85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Առերեսման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էությունը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F837728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35" w:name="bookmark178"/>
      <w:bookmarkEnd w:id="135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Խուզարկության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էությունը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317F0B34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36" w:name="bookmark179"/>
      <w:bookmarkEnd w:id="136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lastRenderedPageBreak/>
        <w:t>Քննման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էությունը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1DDA347" w14:textId="77777777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37" w:name="bookmark180"/>
      <w:bookmarkEnd w:id="137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Առգրավման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էությունը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5ECDCF61" w14:textId="6B074C43" w:rsidR="00DC71AF" w:rsidRPr="002D7A5C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38" w:name="bookmark181"/>
      <w:bookmarkEnd w:id="138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Ճանաչման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էությունը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1899AE5B" w14:textId="7CE90169" w:rsidR="00DC71AF" w:rsidRPr="002D7A5C" w:rsidRDefault="00780A58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39" w:name="bookmark182"/>
      <w:bookmarkEnd w:id="139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Փ</w:t>
      </w:r>
      <w:r w:rsidR="00DC71AF" w:rsidRPr="002D7A5C">
        <w:rPr>
          <w:rFonts w:ascii="GHEA Grapalat" w:hAnsi="GHEA Grapalat"/>
          <w:color w:val="000000"/>
          <w:sz w:val="24"/>
          <w:szCs w:val="24"/>
        </w:rPr>
        <w:t>որձարարությ</w:t>
      </w:r>
      <w:r w:rsidRPr="002D7A5C">
        <w:rPr>
          <w:rFonts w:ascii="GHEA Grapalat" w:hAnsi="GHEA Grapalat"/>
          <w:color w:val="000000"/>
          <w:sz w:val="24"/>
          <w:szCs w:val="24"/>
        </w:rPr>
        <w:t>ա</w:t>
      </w:r>
      <w:r w:rsidR="00DC71AF" w:rsidRPr="002D7A5C">
        <w:rPr>
          <w:rFonts w:ascii="GHEA Grapalat" w:hAnsi="GHEA Grapalat"/>
          <w:color w:val="000000"/>
          <w:sz w:val="24"/>
          <w:szCs w:val="24"/>
        </w:rPr>
        <w:t>ն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էությունը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5AC2A509" w14:textId="77777777" w:rsidR="00780A58" w:rsidRPr="002D7A5C" w:rsidRDefault="00780A58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պահանջի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էությունը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sz w:val="24"/>
          <w:szCs w:val="24"/>
        </w:rPr>
        <w:t>.</w:t>
      </w:r>
    </w:p>
    <w:p w14:paraId="78422B26" w14:textId="77777777" w:rsidR="00780A58" w:rsidRPr="002D7A5C" w:rsidRDefault="00780A58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sz w:val="24"/>
          <w:szCs w:val="24"/>
        </w:rPr>
        <w:t>Առարկաներ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փաստաթղթեր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վերցնելու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էությունը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sz w:val="24"/>
          <w:szCs w:val="24"/>
        </w:rPr>
        <w:t>.</w:t>
      </w:r>
    </w:p>
    <w:p w14:paraId="1D7E4BB1" w14:textId="77777777" w:rsidR="00780A58" w:rsidRPr="002D7A5C" w:rsidRDefault="00780A58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2D7A5C">
        <w:rPr>
          <w:rFonts w:ascii="GHEA Grapalat" w:hAnsi="GHEA Grapalat"/>
          <w:sz w:val="24"/>
          <w:szCs w:val="24"/>
        </w:rPr>
        <w:t>Ցուցմունքը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տեղում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ստուգելու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էությունը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sz w:val="24"/>
          <w:szCs w:val="24"/>
        </w:rPr>
        <w:t>.</w:t>
      </w:r>
    </w:p>
    <w:p w14:paraId="112A7495" w14:textId="1D225723" w:rsidR="00DC71AF" w:rsidRPr="007417E0" w:rsidRDefault="00DC71AF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40" w:name="bookmark183"/>
      <w:bookmarkEnd w:id="140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Փորձաքննության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65F8E" w:rsidRPr="002D7A5C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="00665F8E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65F8E" w:rsidRPr="002D7A5C">
        <w:rPr>
          <w:rFonts w:ascii="GHEA Grapalat" w:hAnsi="GHEA Grapalat"/>
          <w:color w:val="000000"/>
          <w:sz w:val="24"/>
          <w:szCs w:val="24"/>
        </w:rPr>
        <w:t>հիմքը</w:t>
      </w:r>
      <w:proofErr w:type="spellEnd"/>
      <w:r w:rsidR="00665F8E" w:rsidRPr="002D7A5C">
        <w:rPr>
          <w:rFonts w:ascii="GHEA Grapalat" w:hAnsi="GHEA Grapalat"/>
          <w:color w:val="000000"/>
          <w:sz w:val="24"/>
          <w:szCs w:val="24"/>
        </w:rPr>
        <w:t xml:space="preserve"> և</w:t>
      </w:r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կատարման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դատավարական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97592CF" w14:textId="5EF07602" w:rsidR="00C61F2E" w:rsidRPr="002D7A5C" w:rsidRDefault="00C61F2E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Փորձագետի կարծիքը</w:t>
      </w:r>
    </w:p>
    <w:p w14:paraId="24C74336" w14:textId="64A3839C" w:rsidR="00DC71AF" w:rsidRPr="002D7A5C" w:rsidRDefault="00780A58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41" w:name="bookmark184"/>
      <w:bookmarkEnd w:id="141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Գաղտնի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քննչական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գործողություններ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Տեսակները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կատարման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պայմանները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իրավաչափության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երաշխիքները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B6A223F" w14:textId="68FEED41" w:rsidR="00DC71AF" w:rsidRPr="002D7A5C" w:rsidRDefault="00665F8E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42" w:name="bookmark185"/>
      <w:bookmarkEnd w:id="142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Հանրային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հետապնդման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F33DA">
        <w:rPr>
          <w:rFonts w:ascii="GHEA Grapalat" w:hAnsi="GHEA Grapalat"/>
          <w:color w:val="000000"/>
          <w:sz w:val="24"/>
          <w:szCs w:val="24"/>
          <w:lang w:val="hy-AM"/>
        </w:rPr>
        <w:t xml:space="preserve">ժամկետները,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ժամկետը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կասեցնելու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հիմքերը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1B08423" w14:textId="4E870DE9" w:rsidR="00DC71AF" w:rsidRPr="002D7A5C" w:rsidRDefault="00665F8E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  <w:bookmarkStart w:id="143" w:name="bookmark186"/>
      <w:bookmarkEnd w:id="143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Նախաքննության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ավարտը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վարույթը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կարճելով</w:t>
      </w:r>
      <w:proofErr w:type="spellEnd"/>
      <w:r w:rsidRPr="002D7A5C" w:rsidDel="00665F8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դրա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C71AF" w:rsidRPr="002D7A5C">
        <w:rPr>
          <w:rFonts w:ascii="GHEA Grapalat" w:hAnsi="GHEA Grapalat"/>
          <w:color w:val="000000"/>
          <w:sz w:val="24"/>
          <w:szCs w:val="24"/>
        </w:rPr>
        <w:t>հիմքերը</w:t>
      </w:r>
      <w:proofErr w:type="spellEnd"/>
      <w:r w:rsidR="00DC71AF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1F3921C" w14:textId="47823AF2" w:rsidR="00E72A32" w:rsidRPr="002D7A5C" w:rsidRDefault="00DC71AF" w:rsidP="00671E3F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C00000"/>
          <w:sz w:val="24"/>
          <w:szCs w:val="24"/>
        </w:rPr>
      </w:pPr>
      <w:bookmarkStart w:id="144" w:name="bookmark187"/>
      <w:bookmarkEnd w:id="144"/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Մեղադրական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եզրակացությ</w:t>
      </w:r>
      <w:proofErr w:type="spellEnd"/>
      <w:r w:rsidR="007523C6" w:rsidRPr="002D7A5C">
        <w:rPr>
          <w:rFonts w:ascii="GHEA Grapalat" w:hAnsi="GHEA Grapalat"/>
          <w:color w:val="000000"/>
          <w:sz w:val="24"/>
          <w:szCs w:val="24"/>
          <w:lang w:val="hy-AM"/>
        </w:rPr>
        <w:t>ունը և նրա</w:t>
      </w:r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կառուցվածքը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  <w:bookmarkStart w:id="145" w:name="bookmark188"/>
      <w:bookmarkEnd w:id="145"/>
      <w:r w:rsidR="00E200BB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bookmarkStart w:id="146" w:name="bookmark189"/>
      <w:bookmarkEnd w:id="146"/>
    </w:p>
    <w:p w14:paraId="38390334" w14:textId="2574CB59" w:rsidR="00E72A32" w:rsidRPr="002D7A5C" w:rsidRDefault="004523CE" w:rsidP="00671E3F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Համագործակցության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վարույթը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Նպատակը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կիրառելու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հիմքը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ընդհանուր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պայմանները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CA9D6F7" w14:textId="0D661636" w:rsidR="00E709DD" w:rsidRPr="002D7A5C" w:rsidRDefault="005948EB" w:rsidP="00671E3F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Համաձայնեցման </w:t>
      </w:r>
      <w:r w:rsidR="00994D69" w:rsidRPr="002D7A5C">
        <w:rPr>
          <w:rFonts w:ascii="GHEA Grapalat" w:hAnsi="GHEA Grapalat"/>
          <w:color w:val="000000"/>
          <w:sz w:val="24"/>
          <w:szCs w:val="24"/>
          <w:lang w:val="hy-AM"/>
        </w:rPr>
        <w:t>վարույթը</w:t>
      </w:r>
      <w:r w:rsidR="000C0E19" w:rsidRPr="002D7A5C">
        <w:rPr>
          <w:rFonts w:ascii="GHEA Grapalat" w:hAnsi="GHEA Grapalat"/>
          <w:color w:val="000000"/>
          <w:sz w:val="24"/>
          <w:szCs w:val="24"/>
          <w:lang w:val="hy-AM"/>
        </w:rPr>
        <w:t>. Նպատակը, կիրառելու հիմքը, ընդհանուր պայմանները</w:t>
      </w:r>
    </w:p>
    <w:p w14:paraId="7D1B5568" w14:textId="1CA87EA1" w:rsidR="00671E3F" w:rsidRPr="002D7A5C" w:rsidRDefault="00671E3F" w:rsidP="00671E3F">
      <w:pPr>
        <w:pStyle w:val="BodyText"/>
        <w:spacing w:line="276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14:paraId="070EA61B" w14:textId="77777777" w:rsidR="00671E3F" w:rsidRPr="002D7A5C" w:rsidRDefault="00671E3F" w:rsidP="00671E3F">
      <w:pPr>
        <w:pStyle w:val="BodyText"/>
        <w:spacing w:line="276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14:paraId="7C1A39AB" w14:textId="59425AF1" w:rsidR="00E72A32" w:rsidRPr="002D7A5C" w:rsidRDefault="00F2362F" w:rsidP="00A23121">
      <w:pPr>
        <w:pStyle w:val="BodyText"/>
        <w:spacing w:line="276" w:lineRule="auto"/>
        <w:ind w:left="-567" w:firstLine="567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2D7A5C">
        <w:rPr>
          <w:rFonts w:ascii="GHEA Grapalat" w:hAnsi="GHEA Grapalat"/>
          <w:b/>
          <w:color w:val="000000"/>
          <w:sz w:val="24"/>
          <w:szCs w:val="24"/>
          <w:lang w:val="hy-AM"/>
        </w:rPr>
        <w:t>Գ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ույքի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բռնագանձման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փողերի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լվացման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ահաբեկչության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ֆինանսավորման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ոլորտների</w:t>
      </w:r>
      <w:proofErr w:type="spellEnd"/>
      <w:r w:rsidRPr="002D7A5C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/>
          <w:color w:val="000000"/>
          <w:sz w:val="24"/>
          <w:szCs w:val="24"/>
        </w:rPr>
        <w:t>օրենսդրության</w:t>
      </w:r>
      <w:proofErr w:type="spellEnd"/>
    </w:p>
    <w:p w14:paraId="61A7C2CA" w14:textId="77777777" w:rsidR="00F2362F" w:rsidRPr="002D7A5C" w:rsidRDefault="00F2362F" w:rsidP="00A23121">
      <w:pPr>
        <w:pStyle w:val="BodyText"/>
        <w:spacing w:line="276" w:lineRule="auto"/>
        <w:ind w:left="-567" w:firstLine="567"/>
        <w:jc w:val="both"/>
        <w:rPr>
          <w:rFonts w:ascii="GHEA Grapalat" w:hAnsi="GHEA Grapalat"/>
          <w:sz w:val="24"/>
          <w:szCs w:val="24"/>
        </w:rPr>
      </w:pPr>
    </w:p>
    <w:p w14:paraId="15235EEB" w14:textId="77777777" w:rsidR="00E72A32" w:rsidRPr="002D7A5C" w:rsidRDefault="008D5338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bCs/>
          <w:sz w:val="24"/>
          <w:szCs w:val="24"/>
        </w:rPr>
        <w:t>Կ</w:t>
      </w:r>
      <w:r w:rsidR="00E72A32" w:rsidRPr="002D7A5C">
        <w:rPr>
          <w:rFonts w:ascii="GHEA Grapalat" w:hAnsi="GHEA Grapalat"/>
          <w:bCs/>
          <w:sz w:val="24"/>
          <w:szCs w:val="24"/>
        </w:rPr>
        <w:t>ասկածելի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գործարքը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գործարար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հարաբերությունը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,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հասկացությունը</w:t>
      </w:r>
      <w:proofErr w:type="spellEnd"/>
    </w:p>
    <w:p w14:paraId="08FD1259" w14:textId="77777777" w:rsidR="00E72A32" w:rsidRPr="002D7A5C" w:rsidRDefault="00FE14E5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bCs/>
          <w:sz w:val="24"/>
          <w:szCs w:val="24"/>
          <w:lang w:val="ru-RU"/>
        </w:rPr>
        <w:t>Կ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ասկածելի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գործարքի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գործարար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հարաբերության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չափանիշը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>.</w:t>
      </w:r>
    </w:p>
    <w:p w14:paraId="265E4211" w14:textId="77777777" w:rsidR="00E72A32" w:rsidRPr="002D7A5C" w:rsidRDefault="00FE14E5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color w:val="000000"/>
          <w:sz w:val="24"/>
          <w:szCs w:val="24"/>
          <w:lang w:val="ru-RU"/>
        </w:rPr>
        <w:t>Ն</w:t>
      </w:r>
      <w:proofErr w:type="spellStart"/>
      <w:r w:rsidR="00E72A32" w:rsidRPr="002D7A5C">
        <w:rPr>
          <w:rFonts w:ascii="GHEA Grapalat" w:hAnsi="GHEA Grapalat"/>
          <w:color w:val="000000"/>
          <w:sz w:val="24"/>
          <w:szCs w:val="24"/>
        </w:rPr>
        <w:t>ախորդող</w:t>
      </w:r>
      <w:proofErr w:type="spellEnd"/>
      <w:r w:rsidR="00E72A32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color w:val="000000"/>
          <w:sz w:val="24"/>
          <w:szCs w:val="24"/>
        </w:rPr>
        <w:t>հանցագործությունը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  <w:lang w:val="ru-RU"/>
        </w:rPr>
        <w:t>.</w:t>
      </w:r>
    </w:p>
    <w:p w14:paraId="2CEA121C" w14:textId="77777777" w:rsidR="00E72A32" w:rsidRPr="002D7A5C" w:rsidRDefault="00FE14E5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color w:val="000000"/>
          <w:sz w:val="24"/>
          <w:szCs w:val="24"/>
          <w:lang w:val="ru-RU"/>
        </w:rPr>
        <w:t>Դ</w:t>
      </w:r>
      <w:proofErr w:type="spellStart"/>
      <w:r w:rsidR="00E72A32" w:rsidRPr="002D7A5C">
        <w:rPr>
          <w:rFonts w:ascii="GHEA Grapalat" w:hAnsi="GHEA Grapalat"/>
          <w:color w:val="000000"/>
          <w:sz w:val="24"/>
          <w:szCs w:val="24"/>
        </w:rPr>
        <w:t>րամական</w:t>
      </w:r>
      <w:proofErr w:type="spellEnd"/>
      <w:r w:rsidR="00E72A32"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color w:val="000000"/>
          <w:sz w:val="24"/>
          <w:szCs w:val="24"/>
        </w:rPr>
        <w:t>փոխանցումը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  <w:lang w:val="ru-RU"/>
        </w:rPr>
        <w:t>.</w:t>
      </w:r>
    </w:p>
    <w:p w14:paraId="2AC58DEC" w14:textId="77777777" w:rsidR="00E72A32" w:rsidRPr="002D7A5C" w:rsidRDefault="00FE14E5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bCs/>
          <w:sz w:val="24"/>
          <w:szCs w:val="24"/>
          <w:lang w:val="ru-RU"/>
        </w:rPr>
        <w:t>Մ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իանգամյա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գործարքը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,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փոխկապակցված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միանգամյա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գործարքները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>.</w:t>
      </w:r>
    </w:p>
    <w:p w14:paraId="77E250BA" w14:textId="77777777" w:rsidR="00E72A32" w:rsidRPr="002D7A5C" w:rsidRDefault="00FE14E5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bCs/>
          <w:sz w:val="24"/>
          <w:szCs w:val="24"/>
          <w:lang w:val="ru-RU"/>
        </w:rPr>
        <w:t>Ի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րական</w:t>
      </w:r>
      <w:proofErr w:type="spellEnd"/>
      <w:r w:rsidR="00E72A32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72A32" w:rsidRPr="002D7A5C">
        <w:rPr>
          <w:rFonts w:ascii="GHEA Grapalat" w:hAnsi="GHEA Grapalat"/>
          <w:bCs/>
          <w:sz w:val="24"/>
          <w:szCs w:val="24"/>
        </w:rPr>
        <w:t>շահառուն</w:t>
      </w:r>
      <w:proofErr w:type="spellEnd"/>
      <w:r w:rsidRPr="002D7A5C">
        <w:rPr>
          <w:rFonts w:ascii="GHEA Grapalat" w:hAnsi="GHEA Grapalat"/>
          <w:bCs/>
          <w:sz w:val="24"/>
          <w:szCs w:val="24"/>
          <w:lang w:val="ru-RU"/>
        </w:rPr>
        <w:t>.</w:t>
      </w:r>
    </w:p>
    <w:p w14:paraId="6D82ABD5" w14:textId="2D682707" w:rsidR="00E72A32" w:rsidRPr="002D7A5C" w:rsidRDefault="00E72A32" w:rsidP="00830A9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Calibri" w:hAnsi="Calibri" w:cs="Calibri"/>
          <w:color w:val="000000"/>
          <w:sz w:val="24"/>
          <w:szCs w:val="24"/>
        </w:rPr>
        <w:t> </w:t>
      </w:r>
      <w:r w:rsidR="00FE14E5" w:rsidRPr="002D7A5C">
        <w:rPr>
          <w:rFonts w:ascii="GHEA Grapalat" w:hAnsi="GHEA Grapalat"/>
          <w:bCs/>
          <w:sz w:val="24"/>
          <w:szCs w:val="24"/>
          <w:lang w:val="ru-RU"/>
        </w:rPr>
        <w:t>Բ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արձր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ռիսկի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չափանիշը</w:t>
      </w:r>
      <w:proofErr w:type="spellEnd"/>
      <w:r w:rsidR="00FE14E5" w:rsidRPr="002D7A5C">
        <w:rPr>
          <w:rFonts w:ascii="GHEA Grapalat" w:hAnsi="GHEA Grapalat"/>
          <w:bCs/>
          <w:sz w:val="24"/>
          <w:szCs w:val="24"/>
          <w:lang w:val="ru-RU"/>
        </w:rPr>
        <w:t>.</w:t>
      </w:r>
    </w:p>
    <w:p w14:paraId="2C9E39C7" w14:textId="77777777" w:rsidR="00F30F3D" w:rsidRPr="002D7A5C" w:rsidRDefault="00FE14E5" w:rsidP="00A2312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rFonts w:ascii="GHEA Grapalat" w:eastAsia="Sylfaen" w:hAnsi="GHEA Grapalat" w:cs="Sylfaen"/>
          <w:color w:val="000000"/>
        </w:rPr>
      </w:pPr>
      <w:r w:rsidRPr="002D7A5C">
        <w:rPr>
          <w:rFonts w:ascii="GHEA Grapalat" w:eastAsia="Sylfaen" w:hAnsi="GHEA Grapalat" w:cs="Sylfaen"/>
          <w:bCs/>
          <w:lang w:val="ru-RU"/>
        </w:rPr>
        <w:t>Գ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ործարքի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կամ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գործարար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հարաբերության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կասեցումը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,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դրա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իրականացման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մերժումը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>,</w:t>
      </w:r>
      <w:r w:rsidR="00F30F3D" w:rsidRPr="002D7A5C">
        <w:rPr>
          <w:rFonts w:ascii="Calibri" w:eastAsia="Sylfaen" w:hAnsi="Calibri" w:cs="Calibri"/>
          <w:color w:val="000000"/>
        </w:rPr>
        <w:t> 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ինչպես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նաև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դրա</w:t>
      </w:r>
      <w:proofErr w:type="spellEnd"/>
      <w:r w:rsidR="00F30F3D" w:rsidRPr="002D7A5C">
        <w:rPr>
          <w:rFonts w:ascii="GHEA Grapalat" w:eastAsia="Sylfaen" w:hAnsi="GHEA Grapalat" w:cs="Sylfaen"/>
          <w:bCs/>
        </w:rPr>
        <w:t xml:space="preserve"> </w:t>
      </w:r>
      <w:proofErr w:type="spellStart"/>
      <w:r w:rsidR="00F30F3D" w:rsidRPr="002D7A5C">
        <w:rPr>
          <w:rFonts w:ascii="GHEA Grapalat" w:eastAsia="Sylfaen" w:hAnsi="GHEA Grapalat" w:cs="Sylfaen"/>
          <w:bCs/>
        </w:rPr>
        <w:t>դադարեցումը</w:t>
      </w:r>
      <w:proofErr w:type="spellEnd"/>
      <w:r w:rsidRPr="002D7A5C">
        <w:rPr>
          <w:rFonts w:ascii="GHEA Grapalat" w:eastAsia="Sylfaen" w:hAnsi="GHEA Grapalat" w:cs="Sylfaen"/>
          <w:bCs/>
        </w:rPr>
        <w:t>.</w:t>
      </w:r>
    </w:p>
    <w:p w14:paraId="4D1B5E0F" w14:textId="77777777" w:rsidR="00F30F3D" w:rsidRPr="002D7A5C" w:rsidRDefault="00FE14E5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bCs/>
          <w:sz w:val="24"/>
          <w:szCs w:val="24"/>
          <w:lang w:val="ru-RU"/>
        </w:rPr>
        <w:t>Գ</w:t>
      </w:r>
      <w:proofErr w:type="spellStart"/>
      <w:r w:rsidR="00D675A4" w:rsidRPr="002D7A5C">
        <w:rPr>
          <w:rFonts w:ascii="GHEA Grapalat" w:hAnsi="GHEA Grapalat"/>
          <w:bCs/>
          <w:sz w:val="24"/>
          <w:szCs w:val="24"/>
        </w:rPr>
        <w:t>ույքի</w:t>
      </w:r>
      <w:proofErr w:type="spellEnd"/>
      <w:r w:rsidR="00D675A4"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D675A4" w:rsidRPr="002D7A5C">
        <w:rPr>
          <w:rFonts w:ascii="GHEA Grapalat" w:hAnsi="GHEA Grapalat"/>
          <w:bCs/>
          <w:sz w:val="24"/>
          <w:szCs w:val="24"/>
        </w:rPr>
        <w:t>սառեցումը</w:t>
      </w:r>
      <w:proofErr w:type="spellEnd"/>
      <w:r w:rsidRPr="002D7A5C">
        <w:rPr>
          <w:rFonts w:ascii="GHEA Grapalat" w:hAnsi="GHEA Grapalat"/>
          <w:bCs/>
          <w:sz w:val="24"/>
          <w:szCs w:val="24"/>
          <w:lang w:val="ru-RU"/>
        </w:rPr>
        <w:t>.</w:t>
      </w:r>
    </w:p>
    <w:p w14:paraId="1020F50E" w14:textId="77777777" w:rsidR="00D675A4" w:rsidRPr="002D7A5C" w:rsidRDefault="00D675A4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Դրամական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փոխանցումների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կապված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պարտականությունները</w:t>
      </w:r>
      <w:proofErr w:type="spellEnd"/>
    </w:p>
    <w:p w14:paraId="5B65D8F3" w14:textId="77777777" w:rsidR="00FE14E5" w:rsidRPr="002D7A5C" w:rsidRDefault="00D675A4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bCs/>
          <w:sz w:val="24"/>
          <w:szCs w:val="24"/>
        </w:rPr>
        <w:lastRenderedPageBreak/>
        <w:t>Փողերի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լվացման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ահաբեկչության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ֆինանսավորման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մեջ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ներգրավվածության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համար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իրավաբանական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անձանց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նկատմամբ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կիրառվող</w:t>
      </w:r>
      <w:proofErr w:type="spellEnd"/>
      <w:r w:rsidRPr="002D7A5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bCs/>
          <w:sz w:val="24"/>
          <w:szCs w:val="24"/>
        </w:rPr>
        <w:t>պատասխանատվությունը</w:t>
      </w:r>
      <w:proofErr w:type="spellEnd"/>
      <w:r w:rsidR="00FE14E5" w:rsidRPr="002D7A5C">
        <w:rPr>
          <w:rFonts w:ascii="GHEA Grapalat" w:hAnsi="GHEA Grapalat"/>
          <w:bCs/>
          <w:sz w:val="24"/>
          <w:szCs w:val="24"/>
        </w:rPr>
        <w:t>.</w:t>
      </w:r>
    </w:p>
    <w:p w14:paraId="6D40CB53" w14:textId="77777777" w:rsidR="00D675A4" w:rsidRPr="002D7A5C" w:rsidRDefault="00D675A4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Ֆինանսական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դիտարկումների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կենտրոնի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դերն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գործառույթները</w:t>
      </w:r>
      <w:proofErr w:type="spellEnd"/>
      <w:r w:rsidR="00FE14E5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69C52251" w14:textId="77777777" w:rsidR="00D675A4" w:rsidRPr="002D7A5C" w:rsidRDefault="00D675A4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Իրավապահ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մարմինների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ֆինանսական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դիտարկումների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կենտրոնի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համագործակցությունը</w:t>
      </w:r>
      <w:proofErr w:type="spellEnd"/>
      <w:r w:rsidR="00FE14E5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AC25E4F" w14:textId="77777777" w:rsidR="006662AF" w:rsidRPr="002D7A5C" w:rsidRDefault="00D67249" w:rsidP="00A23121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color w:val="000000"/>
          <w:sz w:val="24"/>
          <w:szCs w:val="24"/>
        </w:rPr>
        <w:t xml:space="preserve">ՀՀ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կենտրոնական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բանկի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2D7A5C">
        <w:rPr>
          <w:rFonts w:ascii="Calibri" w:hAnsi="Calibri" w:cs="Calibri"/>
          <w:color w:val="000000"/>
          <w:sz w:val="24"/>
          <w:szCs w:val="24"/>
        </w:rPr>
        <w:t> 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հետապնդում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իրականացնող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proofErr w:type="gramStart"/>
      <w:r w:rsidRPr="002D7A5C">
        <w:rPr>
          <w:rFonts w:ascii="GHEA Grapalat" w:hAnsi="GHEA Grapalat"/>
          <w:color w:val="000000"/>
          <w:sz w:val="24"/>
          <w:szCs w:val="24"/>
        </w:rPr>
        <w:t>մարմիններին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ծանուցում</w:t>
      </w:r>
      <w:proofErr w:type="spellEnd"/>
      <w:proofErr w:type="gram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տրամադրելու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 w:rsidR="00FE14E5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67C8F07E" w14:textId="758A39C2" w:rsidR="000B1F6B" w:rsidRPr="002D7A5C" w:rsidRDefault="00D40AA6" w:rsidP="00A173C0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color w:val="000000"/>
          <w:sz w:val="24"/>
          <w:szCs w:val="24"/>
        </w:rPr>
        <w:t xml:space="preserve">ՀՀ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կենտրոնական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բանկի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իրավասությունը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թվում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վերահսկող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քրեական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հետապնդում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իրականացնող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մարմիններից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նպատակներից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բխող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տեղեկություններ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ներառյալ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փաստաթղթեր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),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թվում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գաղտնիք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պարունակող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տեղեկություններ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պահանջելու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տեսանկյունից</w:t>
      </w:r>
      <w:proofErr w:type="spellEnd"/>
      <w:r w:rsidR="008D5338"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22BF1054" w14:textId="77777777" w:rsidR="000B1F6B" w:rsidRPr="002D7A5C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Անձին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պատկանող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գույք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16E23857" w14:textId="77777777" w:rsidR="000B1F6B" w:rsidRPr="002D7A5C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Ապօրինի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ծագում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ունեցող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գույք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F982291" w14:textId="77777777" w:rsidR="000B1F6B" w:rsidRPr="002D7A5C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Օրինական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եկամուտ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A730107" w14:textId="0F63953A" w:rsidR="000B1F6B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2D7A5C">
        <w:rPr>
          <w:rFonts w:ascii="GHEA Grapalat" w:hAnsi="GHEA Grapalat"/>
          <w:color w:val="000000"/>
          <w:sz w:val="24"/>
          <w:szCs w:val="24"/>
        </w:rPr>
        <w:t>&lt;&lt;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Ապօրինի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ծագում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ունեցող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բռնագանձման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&gt;&gt; ՀՀ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օրենքով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հանցագործություն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7A6084DE" w14:textId="6E4A5A5A" w:rsidR="009E015B" w:rsidRPr="007417E0" w:rsidRDefault="009E015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r w:rsidRPr="00741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Pr="007417E0">
        <w:rPr>
          <w:rFonts w:ascii="GHEA Grapalat" w:hAnsi="GHEA Grapalat"/>
          <w:sz w:val="24"/>
          <w:szCs w:val="24"/>
          <w:lang w:val="hy-AM"/>
        </w:rPr>
        <w:t>Ապօրինի ծագում ունեցող գույքի բռնագանձման մասին</w:t>
      </w:r>
      <w:r w:rsidRPr="00741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Pr="007417E0">
        <w:rPr>
          <w:rFonts w:ascii="GHEA Grapalat" w:hAnsi="GHEA Grapalat"/>
          <w:sz w:val="24"/>
          <w:szCs w:val="24"/>
          <w:lang w:val="hy-AM"/>
        </w:rPr>
        <w:t xml:space="preserve"> ՀՀ օրենքի համաձայն՝ ուսումնասիրություն կատարելը</w:t>
      </w:r>
    </w:p>
    <w:p w14:paraId="529B3140" w14:textId="77777777" w:rsidR="000B1F6B" w:rsidRPr="002D7A5C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Փոխկապակցված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/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իրավաբանական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446E50C1" w14:textId="77777777" w:rsidR="000B1F6B" w:rsidRPr="002D7A5C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Մերձավոր</w:t>
      </w:r>
      <w:proofErr w:type="spellEnd"/>
      <w:r w:rsidRPr="002D7A5C">
        <w:rPr>
          <w:rFonts w:ascii="Calibri" w:hAnsi="Calibri" w:cs="Calibri"/>
          <w:color w:val="000000"/>
          <w:sz w:val="24"/>
          <w:szCs w:val="24"/>
        </w:rPr>
        <w:t> 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ազգականի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ընտանիքի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անդամի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571CC59E" w14:textId="77777777" w:rsidR="000B1F6B" w:rsidRPr="002D7A5C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Ապօրինի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ծագում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ունեցող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բռնագանձման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վարույթ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5D61F82" w14:textId="77777777" w:rsidR="000B1F6B" w:rsidRPr="002D7A5C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Պաշտոնատար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անձի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283814B" w14:textId="77777777" w:rsidR="000B1F6B" w:rsidRPr="002D7A5C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Շուկայականից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էականորեն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ցածր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գնի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հասկացությունը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>.</w:t>
      </w:r>
    </w:p>
    <w:p w14:paraId="0A03BD2B" w14:textId="77777777" w:rsidR="000B1F6B" w:rsidRPr="002D7A5C" w:rsidRDefault="000B1F6B" w:rsidP="000B1F6B">
      <w:pPr>
        <w:pStyle w:val="BodyText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Հայց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հարուցելու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հիմքերի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ուսումնասիրություն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սկսելու</w:t>
      </w:r>
      <w:proofErr w:type="spellEnd"/>
      <w:r w:rsidRPr="002D7A5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hAnsi="GHEA Grapalat"/>
          <w:color w:val="000000"/>
          <w:sz w:val="24"/>
          <w:szCs w:val="24"/>
        </w:rPr>
        <w:t>պարտականությունը</w:t>
      </w:r>
      <w:proofErr w:type="spellEnd"/>
    </w:p>
    <w:p w14:paraId="4C7CC076" w14:textId="77777777" w:rsidR="000B1F6B" w:rsidRPr="002D7A5C" w:rsidRDefault="000B1F6B" w:rsidP="000B1F6B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-567" w:firstLine="567"/>
        <w:jc w:val="both"/>
        <w:rPr>
          <w:rFonts w:ascii="GHEA Grapalat" w:eastAsia="Sylfaen" w:hAnsi="GHEA Grapalat" w:cs="Sylfaen"/>
          <w:color w:val="000000"/>
          <w:sz w:val="24"/>
          <w:szCs w:val="24"/>
        </w:rPr>
      </w:pPr>
      <w:r w:rsidRPr="002D7A5C">
        <w:rPr>
          <w:rFonts w:ascii="Calibri" w:eastAsia="Sylfaen" w:hAnsi="Calibri" w:cs="Calibri"/>
          <w:color w:val="000000"/>
          <w:sz w:val="24"/>
          <w:szCs w:val="24"/>
        </w:rPr>
        <w:t> </w:t>
      </w:r>
      <w:proofErr w:type="spellStart"/>
      <w:r w:rsidRPr="002D7A5C">
        <w:rPr>
          <w:rFonts w:ascii="GHEA Grapalat" w:eastAsia="Sylfaen" w:hAnsi="GHEA Grapalat" w:cs="Sylfaen"/>
          <w:bCs/>
          <w:sz w:val="24"/>
          <w:szCs w:val="24"/>
        </w:rPr>
        <w:t>Ուսումնասիրություն</w:t>
      </w:r>
      <w:proofErr w:type="spellEnd"/>
      <w:r w:rsidRPr="002D7A5C">
        <w:rPr>
          <w:rFonts w:ascii="GHEA Grapalat" w:eastAsia="Sylfaen" w:hAnsi="GHEA Grapalat" w:cs="Sylfaen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Sylfaen" w:hAnsi="GHEA Grapalat" w:cs="Sylfaen"/>
          <w:bCs/>
          <w:sz w:val="24"/>
          <w:szCs w:val="24"/>
        </w:rPr>
        <w:t>սկսելու</w:t>
      </w:r>
      <w:proofErr w:type="spellEnd"/>
      <w:r w:rsidRPr="002D7A5C">
        <w:rPr>
          <w:rFonts w:ascii="GHEA Grapalat" w:eastAsia="Sylfaen" w:hAnsi="GHEA Grapalat" w:cs="Sylfaen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Sylfaen" w:hAnsi="GHEA Grapalat" w:cs="Sylfaen"/>
          <w:bCs/>
          <w:sz w:val="24"/>
          <w:szCs w:val="24"/>
        </w:rPr>
        <w:t>հիմքերը</w:t>
      </w:r>
      <w:proofErr w:type="spellEnd"/>
      <w:r w:rsidRPr="002D7A5C">
        <w:rPr>
          <w:rFonts w:ascii="GHEA Grapalat" w:eastAsia="Sylfaen" w:hAnsi="GHEA Grapalat" w:cs="Sylfaen"/>
          <w:bCs/>
          <w:sz w:val="24"/>
          <w:szCs w:val="24"/>
        </w:rPr>
        <w:t>.</w:t>
      </w:r>
    </w:p>
    <w:p w14:paraId="6704A7AF" w14:textId="0930F973" w:rsidR="000B1F6B" w:rsidRPr="007417E0" w:rsidRDefault="000B1F6B" w:rsidP="00900713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-567" w:firstLine="567"/>
        <w:jc w:val="both"/>
        <w:rPr>
          <w:rFonts w:ascii="GHEA Grapalat" w:eastAsia="Sylfaen" w:hAnsi="GHEA Grapalat" w:cs="Sylfaen"/>
          <w:color w:val="000000"/>
          <w:sz w:val="24"/>
          <w:szCs w:val="24"/>
        </w:rPr>
      </w:pPr>
      <w:proofErr w:type="spellStart"/>
      <w:r w:rsidRPr="002D7A5C">
        <w:rPr>
          <w:rFonts w:ascii="GHEA Grapalat" w:eastAsia="Sylfaen" w:hAnsi="GHEA Grapalat" w:cs="Sylfaen"/>
          <w:bCs/>
          <w:sz w:val="24"/>
          <w:szCs w:val="24"/>
        </w:rPr>
        <w:t>Քրեական</w:t>
      </w:r>
      <w:proofErr w:type="spellEnd"/>
      <w:r w:rsidRPr="002D7A5C">
        <w:rPr>
          <w:rFonts w:ascii="GHEA Grapalat" w:eastAsia="Sylfaen" w:hAnsi="GHEA Grapalat" w:cs="Sylfaen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Sylfaen" w:hAnsi="GHEA Grapalat" w:cs="Sylfaen"/>
          <w:bCs/>
          <w:sz w:val="24"/>
          <w:szCs w:val="24"/>
        </w:rPr>
        <w:t>վարույթին</w:t>
      </w:r>
      <w:proofErr w:type="spellEnd"/>
      <w:r w:rsidRPr="002D7A5C">
        <w:rPr>
          <w:rFonts w:ascii="GHEA Grapalat" w:eastAsia="Sylfaen" w:hAnsi="GHEA Grapalat" w:cs="Sylfaen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Sylfaen" w:hAnsi="GHEA Grapalat" w:cs="Sylfaen"/>
          <w:bCs/>
          <w:sz w:val="24"/>
          <w:szCs w:val="24"/>
        </w:rPr>
        <w:t>զուգահեռ</w:t>
      </w:r>
      <w:proofErr w:type="spellEnd"/>
      <w:r w:rsidRPr="002D7A5C">
        <w:rPr>
          <w:rFonts w:ascii="GHEA Grapalat" w:eastAsia="Sylfaen" w:hAnsi="GHEA Grapalat" w:cs="Sylfaen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Sylfaen" w:hAnsi="GHEA Grapalat" w:cs="Sylfaen"/>
          <w:bCs/>
          <w:sz w:val="24"/>
          <w:szCs w:val="24"/>
        </w:rPr>
        <w:t>ուսումնասիրություն</w:t>
      </w:r>
      <w:proofErr w:type="spellEnd"/>
      <w:r w:rsidRPr="002D7A5C">
        <w:rPr>
          <w:rFonts w:ascii="GHEA Grapalat" w:eastAsia="Sylfaen" w:hAnsi="GHEA Grapalat" w:cs="Sylfaen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Sylfaen" w:hAnsi="GHEA Grapalat" w:cs="Sylfaen"/>
          <w:bCs/>
          <w:sz w:val="24"/>
          <w:szCs w:val="24"/>
        </w:rPr>
        <w:t>իրականացնելու</w:t>
      </w:r>
      <w:proofErr w:type="spellEnd"/>
      <w:r w:rsidRPr="002D7A5C">
        <w:rPr>
          <w:rFonts w:ascii="GHEA Grapalat" w:eastAsia="Sylfaen" w:hAnsi="GHEA Grapalat" w:cs="Sylfaen"/>
          <w:bCs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Sylfaen" w:hAnsi="GHEA Grapalat" w:cs="Sylfaen"/>
          <w:bCs/>
          <w:sz w:val="24"/>
          <w:szCs w:val="24"/>
        </w:rPr>
        <w:t>առանձնահատկությունները</w:t>
      </w:r>
      <w:proofErr w:type="spellEnd"/>
      <w:r w:rsidRPr="002D7A5C">
        <w:rPr>
          <w:rFonts w:ascii="GHEA Grapalat" w:eastAsia="Sylfaen" w:hAnsi="GHEA Grapalat" w:cs="Sylfaen"/>
          <w:bCs/>
          <w:sz w:val="24"/>
          <w:szCs w:val="24"/>
        </w:rPr>
        <w:t>.</w:t>
      </w:r>
    </w:p>
    <w:p w14:paraId="36DE76B0" w14:textId="35199438" w:rsidR="00BC58FC" w:rsidRPr="007417E0" w:rsidRDefault="00BC58FC" w:rsidP="00900713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-567" w:firstLine="567"/>
        <w:jc w:val="both"/>
        <w:rPr>
          <w:rFonts w:ascii="GHEA Grapalat" w:eastAsia="Sylfaen" w:hAnsi="GHEA Grapalat" w:cs="Sylfaen"/>
          <w:color w:val="000000"/>
          <w:sz w:val="24"/>
          <w:szCs w:val="24"/>
        </w:rPr>
      </w:pPr>
      <w:r w:rsidRPr="007417E0">
        <w:rPr>
          <w:rFonts w:ascii="GHEA Grapalat" w:hAnsi="GHEA Grapalat"/>
          <w:sz w:val="24"/>
          <w:szCs w:val="24"/>
          <w:lang w:val="hy-AM"/>
        </w:rPr>
        <w:t>Գույքի և եկամուտների իրավիճակային հայտարարագիր ներկայացնելու կարգն ու ժամկետները</w:t>
      </w:r>
    </w:p>
    <w:p w14:paraId="2B382895" w14:textId="77777777" w:rsidR="000B1F6B" w:rsidRPr="002D7A5C" w:rsidRDefault="000B1F6B" w:rsidP="000B1F6B">
      <w:pPr>
        <w:pStyle w:val="BodyText"/>
        <w:spacing w:line="276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14:paraId="706F26FC" w14:textId="77777777" w:rsidR="00FE14E5" w:rsidRPr="002D7A5C" w:rsidRDefault="00FE14E5" w:rsidP="00A23121">
      <w:pPr>
        <w:pStyle w:val="BodyText"/>
        <w:spacing w:line="276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</w:rPr>
      </w:pPr>
    </w:p>
    <w:p w14:paraId="5164FEDB" w14:textId="595690D7" w:rsidR="004467EA" w:rsidRPr="002D7A5C" w:rsidRDefault="00F2362F" w:rsidP="00F2362F">
      <w:pPr>
        <w:spacing w:line="276" w:lineRule="auto"/>
        <w:ind w:left="-567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147" w:name="bookmark190"/>
      <w:bookmarkStart w:id="148" w:name="bookmark191"/>
      <w:bookmarkEnd w:id="147"/>
      <w:bookmarkEnd w:id="148"/>
      <w:r w:rsidRPr="002D7A5C">
        <w:rPr>
          <w:rFonts w:ascii="GHEA Grapalat" w:hAnsi="GHEA Grapalat"/>
          <w:b/>
          <w:sz w:val="24"/>
          <w:szCs w:val="24"/>
          <w:lang w:val="hy-AM"/>
        </w:rPr>
        <w:t>Հաշվապահական հաշվառման կամ իրավաբանական անձի կարգավիճակը և գործունեությունը կարգավորող ոլորտներ</w:t>
      </w:r>
    </w:p>
    <w:p w14:paraId="2A573BD4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2D7A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2D7A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sz w:val="24"/>
          <w:szCs w:val="24"/>
        </w:rPr>
        <w:t>հասկացությունը</w:t>
      </w:r>
      <w:proofErr w:type="spellEnd"/>
      <w:r w:rsidRPr="002D7A5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6F9EEAA3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2D7A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2D7A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sz w:val="24"/>
          <w:szCs w:val="24"/>
        </w:rPr>
        <w:t>տեսակները</w:t>
      </w:r>
      <w:proofErr w:type="spellEnd"/>
      <w:r w:rsidRPr="002D7A5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E9C5904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sz w:val="24"/>
          <w:szCs w:val="24"/>
        </w:rPr>
        <w:lastRenderedPageBreak/>
        <w:t>Իրավաբանական</w:t>
      </w:r>
      <w:proofErr w:type="spellEnd"/>
      <w:r w:rsidRPr="002D7A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Pr="002D7A5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sz w:val="24"/>
          <w:szCs w:val="24"/>
        </w:rPr>
        <w:t>իրավունակությունը</w:t>
      </w:r>
      <w:proofErr w:type="spellEnd"/>
    </w:p>
    <w:p w14:paraId="0F0FB437" w14:textId="55129E08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Իրավաբանական անձի մարմինները</w:t>
      </w:r>
      <w:r w:rsidR="001702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նրանց ընտրության և նշանակման կարգը </w:t>
      </w:r>
    </w:p>
    <w:p w14:paraId="68815993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GB"/>
        </w:rPr>
        <w:t>Իրավաբանական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GB"/>
        </w:rPr>
        <w:t>անձի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GB"/>
        </w:rPr>
        <w:t>պատասխանատվությունը</w:t>
      </w:r>
      <w:proofErr w:type="spellEnd"/>
    </w:p>
    <w:p w14:paraId="45565410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Իրավաբանական անձի լուծարումը </w:t>
      </w:r>
    </w:p>
    <w:p w14:paraId="1BE3C6BA" w14:textId="3C47A356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Սահմանափակ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պատասխանատվությամբ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ընկերության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գույքում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մասնակցի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բաժնեմասի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վրա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բռնագանձում տարածելը</w:t>
      </w:r>
    </w:p>
    <w:p w14:paraId="2351F458" w14:textId="4D6A20BC" w:rsidR="001D6F7B" w:rsidRPr="002D7A5C" w:rsidRDefault="001D6F7B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Սահմանափակ պատասխանատվությամբ ընկերության կանոնադրական կապիտալը</w:t>
      </w:r>
    </w:p>
    <w:p w14:paraId="0C4B8A0A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Հիմնական դրույթներ բաժնետիրական ընկերության մասին</w:t>
      </w: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</w:p>
    <w:p w14:paraId="48FB6B83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Ներկայացուցչություններ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մասնաճյուղեր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հիմնարկներ</w:t>
      </w:r>
      <w:proofErr w:type="spellEnd"/>
    </w:p>
    <w:p w14:paraId="70585E2C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Դուստր, կախյալ տնտեսական ընկերություններ</w:t>
      </w:r>
    </w:p>
    <w:p w14:paraId="0921B92C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Ոչ առևտրային կազմակերպություններ</w:t>
      </w:r>
    </w:p>
    <w:p w14:paraId="6DC971C6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Հաշվապահական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հաշվառման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ոլորտում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քաղաքականություն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իրականացնող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մարմինը</w:t>
      </w:r>
      <w:proofErr w:type="spellEnd"/>
    </w:p>
    <w:p w14:paraId="641E99E3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Կազմակերպության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ղեկավարության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իրավունքները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պարտականությունները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հաշվապահական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հաշվառման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կազմակերպման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գործում</w:t>
      </w:r>
      <w:proofErr w:type="spellEnd"/>
    </w:p>
    <w:p w14:paraId="0502751B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Գլխավոր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հաշվապահի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իրավունքները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պարտականությունները</w:t>
      </w:r>
      <w:proofErr w:type="spellEnd"/>
    </w:p>
    <w:p w14:paraId="4A5345E7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Հաշվապահական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հաշվառման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վարման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հիմնական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կանոնները</w:t>
      </w:r>
      <w:proofErr w:type="spellEnd"/>
    </w:p>
    <w:p w14:paraId="77AD987D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Սկզբնական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հաշվապահական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հաշվառման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փաստաթղթերը</w:t>
      </w:r>
      <w:proofErr w:type="spellEnd"/>
    </w:p>
    <w:p w14:paraId="59BFF0FD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Ֆինանսական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հաշվետվությունների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պատրաստումը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կազմը</w:t>
      </w:r>
      <w:proofErr w:type="spellEnd"/>
    </w:p>
    <w:p w14:paraId="338D043C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-567" w:firstLine="567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</w:pPr>
      <w:proofErr w:type="spellStart"/>
      <w:r w:rsidRPr="002D7A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Ֆինանսական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հաշվետվություններ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կազմելուն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ներկայացվող</w:t>
      </w:r>
      <w:proofErr w:type="spellEnd"/>
      <w:r w:rsidRPr="002D7A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D7A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</w:rPr>
        <w:t>պահանջները</w:t>
      </w:r>
      <w:proofErr w:type="spellEnd"/>
    </w:p>
    <w:p w14:paraId="43E841F8" w14:textId="77777777" w:rsidR="00D814AE" w:rsidRPr="002D7A5C" w:rsidRDefault="00D814AE" w:rsidP="00D814AE">
      <w:pPr>
        <w:pStyle w:val="ListParagraph"/>
        <w:numPr>
          <w:ilvl w:val="0"/>
          <w:numId w:val="2"/>
        </w:numPr>
        <w:spacing w:line="276" w:lineRule="auto"/>
        <w:ind w:left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Իրավաբանական անձանց իրական շահառուների վերաբերյալ տեղեկությունների գրառումը</w:t>
      </w:r>
    </w:p>
    <w:p w14:paraId="68FF6F21" w14:textId="294814E2" w:rsidR="00D814AE" w:rsidRPr="002D7A5C" w:rsidRDefault="00D814AE" w:rsidP="000D3F03">
      <w:pPr>
        <w:pStyle w:val="ListParagraph"/>
        <w:numPr>
          <w:ilvl w:val="0"/>
          <w:numId w:val="2"/>
        </w:numPr>
        <w:spacing w:line="276" w:lineRule="auto"/>
        <w:ind w:left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D7A5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Իրավաբանական անձանց լուծարման պետական գրանցումը</w:t>
      </w:r>
    </w:p>
    <w:sectPr w:rsidR="00D814AE" w:rsidRPr="002D7A5C" w:rsidSect="008363D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151B"/>
    <w:multiLevelType w:val="multilevel"/>
    <w:tmpl w:val="3AD0A074"/>
    <w:lvl w:ilvl="0">
      <w:start w:val="1"/>
      <w:numFmt w:val="decimal"/>
      <w:lvlText w:val="%1."/>
      <w:lvlJc w:val="left"/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0B6261"/>
    <w:multiLevelType w:val="multilevel"/>
    <w:tmpl w:val="88662F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3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86DC8"/>
    <w:multiLevelType w:val="multilevel"/>
    <w:tmpl w:val="CC462CAA"/>
    <w:lvl w:ilvl="0">
      <w:start w:val="16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4F6245"/>
    <w:multiLevelType w:val="multilevel"/>
    <w:tmpl w:val="56709450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2E6F2A"/>
    <w:multiLevelType w:val="multilevel"/>
    <w:tmpl w:val="BDDE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>
      <w:startOverride w:val="10"/>
    </w:lvlOverride>
  </w:num>
  <w:num w:numId="5">
    <w:abstractNumId w:val="4"/>
    <w:lvlOverride w:ilvl="0">
      <w:startOverride w:val="11"/>
    </w:lvlOverride>
  </w:num>
  <w:num w:numId="6">
    <w:abstractNumId w:val="4"/>
    <w:lvlOverride w:ilvl="0">
      <w:startOverride w:val="12"/>
    </w:lvlOverride>
  </w:num>
  <w:num w:numId="7">
    <w:abstractNumId w:val="4"/>
    <w:lvlOverride w:ilvl="0">
      <w:startOverride w:val="13"/>
    </w:lvlOverride>
  </w:num>
  <w:num w:numId="8">
    <w:abstractNumId w:val="4"/>
    <w:lvlOverride w:ilvl="0">
      <w:startOverride w:val="14"/>
    </w:lvlOverride>
  </w:num>
  <w:num w:numId="9">
    <w:abstractNumId w:val="4"/>
    <w:lvlOverride w:ilvl="0">
      <w:startOverride w:val="15"/>
    </w:lvlOverride>
  </w:num>
  <w:num w:numId="10">
    <w:abstractNumId w:val="4"/>
    <w:lvlOverride w:ilvl="0">
      <w:startOverride w:val="16"/>
    </w:lvlOverride>
  </w:num>
  <w:num w:numId="11">
    <w:abstractNumId w:val="4"/>
    <w:lvlOverride w:ilvl="0">
      <w:startOverride w:val="17"/>
    </w:lvlOverride>
  </w:num>
  <w:num w:numId="12">
    <w:abstractNumId w:val="4"/>
    <w:lvlOverride w:ilvl="0">
      <w:startOverride w:val="18"/>
    </w:lvlOverride>
  </w:num>
  <w:num w:numId="13">
    <w:abstractNumId w:val="4"/>
    <w:lvlOverride w:ilvl="0">
      <w:startOverride w:val="19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1AF"/>
    <w:rsid w:val="00006FBB"/>
    <w:rsid w:val="00011FFE"/>
    <w:rsid w:val="0001352C"/>
    <w:rsid w:val="0006300B"/>
    <w:rsid w:val="000B1F6B"/>
    <w:rsid w:val="000B5110"/>
    <w:rsid w:val="000C0E19"/>
    <w:rsid w:val="000C238C"/>
    <w:rsid w:val="000D3F03"/>
    <w:rsid w:val="00115219"/>
    <w:rsid w:val="001468B6"/>
    <w:rsid w:val="001702D0"/>
    <w:rsid w:val="001854D9"/>
    <w:rsid w:val="001967CB"/>
    <w:rsid w:val="001B41AC"/>
    <w:rsid w:val="001D6F7B"/>
    <w:rsid w:val="001E6F51"/>
    <w:rsid w:val="001F0E2C"/>
    <w:rsid w:val="001F688F"/>
    <w:rsid w:val="0021112F"/>
    <w:rsid w:val="00216BA4"/>
    <w:rsid w:val="0021736F"/>
    <w:rsid w:val="002227E4"/>
    <w:rsid w:val="00223E9C"/>
    <w:rsid w:val="00225053"/>
    <w:rsid w:val="002522D6"/>
    <w:rsid w:val="00262F32"/>
    <w:rsid w:val="00274B32"/>
    <w:rsid w:val="002A1341"/>
    <w:rsid w:val="002D7A5C"/>
    <w:rsid w:val="002E27B2"/>
    <w:rsid w:val="00302100"/>
    <w:rsid w:val="00310E3E"/>
    <w:rsid w:val="003235CE"/>
    <w:rsid w:val="00341C76"/>
    <w:rsid w:val="00352837"/>
    <w:rsid w:val="00353923"/>
    <w:rsid w:val="003643BB"/>
    <w:rsid w:val="00370994"/>
    <w:rsid w:val="003C50F6"/>
    <w:rsid w:val="003D1220"/>
    <w:rsid w:val="003D3D56"/>
    <w:rsid w:val="003F015C"/>
    <w:rsid w:val="004467EA"/>
    <w:rsid w:val="00451D13"/>
    <w:rsid w:val="004523CE"/>
    <w:rsid w:val="00485709"/>
    <w:rsid w:val="00493503"/>
    <w:rsid w:val="004969A5"/>
    <w:rsid w:val="004B6CD8"/>
    <w:rsid w:val="004D171E"/>
    <w:rsid w:val="005060C5"/>
    <w:rsid w:val="00523EE3"/>
    <w:rsid w:val="00542F12"/>
    <w:rsid w:val="0054362D"/>
    <w:rsid w:val="00567AD8"/>
    <w:rsid w:val="005740A9"/>
    <w:rsid w:val="00577386"/>
    <w:rsid w:val="005948EB"/>
    <w:rsid w:val="00594BFA"/>
    <w:rsid w:val="00595427"/>
    <w:rsid w:val="005A5D29"/>
    <w:rsid w:val="005C6F41"/>
    <w:rsid w:val="005D1762"/>
    <w:rsid w:val="005F1110"/>
    <w:rsid w:val="005F7010"/>
    <w:rsid w:val="00625C7C"/>
    <w:rsid w:val="00636318"/>
    <w:rsid w:val="006617BD"/>
    <w:rsid w:val="00665F8E"/>
    <w:rsid w:val="006662AF"/>
    <w:rsid w:val="00671E3F"/>
    <w:rsid w:val="006B3287"/>
    <w:rsid w:val="006B7B74"/>
    <w:rsid w:val="00737C7E"/>
    <w:rsid w:val="007417E0"/>
    <w:rsid w:val="007523C6"/>
    <w:rsid w:val="0077617F"/>
    <w:rsid w:val="00780A58"/>
    <w:rsid w:val="007A147F"/>
    <w:rsid w:val="007A6BCA"/>
    <w:rsid w:val="007B6223"/>
    <w:rsid w:val="008121F1"/>
    <w:rsid w:val="00822715"/>
    <w:rsid w:val="008363DC"/>
    <w:rsid w:val="00847ED0"/>
    <w:rsid w:val="008550DA"/>
    <w:rsid w:val="00863DE6"/>
    <w:rsid w:val="008717FB"/>
    <w:rsid w:val="00871CED"/>
    <w:rsid w:val="00894DFA"/>
    <w:rsid w:val="008A2654"/>
    <w:rsid w:val="008A7FEB"/>
    <w:rsid w:val="008C2D53"/>
    <w:rsid w:val="008D3F6D"/>
    <w:rsid w:val="008D5338"/>
    <w:rsid w:val="008E579C"/>
    <w:rsid w:val="009004B1"/>
    <w:rsid w:val="00900713"/>
    <w:rsid w:val="00965C7A"/>
    <w:rsid w:val="00976F46"/>
    <w:rsid w:val="00977A57"/>
    <w:rsid w:val="00982A60"/>
    <w:rsid w:val="00994D69"/>
    <w:rsid w:val="00996023"/>
    <w:rsid w:val="00996827"/>
    <w:rsid w:val="009B4653"/>
    <w:rsid w:val="009D4DC2"/>
    <w:rsid w:val="009E015B"/>
    <w:rsid w:val="009E740B"/>
    <w:rsid w:val="00A173C0"/>
    <w:rsid w:val="00A22593"/>
    <w:rsid w:val="00A23121"/>
    <w:rsid w:val="00A44A6C"/>
    <w:rsid w:val="00A85547"/>
    <w:rsid w:val="00AA3E2A"/>
    <w:rsid w:val="00AA55DD"/>
    <w:rsid w:val="00AC160F"/>
    <w:rsid w:val="00AD7964"/>
    <w:rsid w:val="00AE28B8"/>
    <w:rsid w:val="00AF37F3"/>
    <w:rsid w:val="00B04536"/>
    <w:rsid w:val="00B1396E"/>
    <w:rsid w:val="00B31D24"/>
    <w:rsid w:val="00B46DBA"/>
    <w:rsid w:val="00B511E3"/>
    <w:rsid w:val="00B65CB4"/>
    <w:rsid w:val="00B86586"/>
    <w:rsid w:val="00B95C37"/>
    <w:rsid w:val="00B95D08"/>
    <w:rsid w:val="00BC58FC"/>
    <w:rsid w:val="00BC794D"/>
    <w:rsid w:val="00BF1DA4"/>
    <w:rsid w:val="00C01F8B"/>
    <w:rsid w:val="00C1275B"/>
    <w:rsid w:val="00C16A7E"/>
    <w:rsid w:val="00C17B00"/>
    <w:rsid w:val="00C36B38"/>
    <w:rsid w:val="00C4178B"/>
    <w:rsid w:val="00C61F2E"/>
    <w:rsid w:val="00CA2BF5"/>
    <w:rsid w:val="00CA2F8F"/>
    <w:rsid w:val="00CD2197"/>
    <w:rsid w:val="00CD3E13"/>
    <w:rsid w:val="00CF33DA"/>
    <w:rsid w:val="00CF5A16"/>
    <w:rsid w:val="00D0560B"/>
    <w:rsid w:val="00D14AD1"/>
    <w:rsid w:val="00D26459"/>
    <w:rsid w:val="00D3610C"/>
    <w:rsid w:val="00D40AA6"/>
    <w:rsid w:val="00D67249"/>
    <w:rsid w:val="00D675A4"/>
    <w:rsid w:val="00D814AE"/>
    <w:rsid w:val="00D83E27"/>
    <w:rsid w:val="00DA6231"/>
    <w:rsid w:val="00DC71AF"/>
    <w:rsid w:val="00DF5072"/>
    <w:rsid w:val="00E200BB"/>
    <w:rsid w:val="00E4296B"/>
    <w:rsid w:val="00E50A33"/>
    <w:rsid w:val="00E56254"/>
    <w:rsid w:val="00E709DD"/>
    <w:rsid w:val="00E72A32"/>
    <w:rsid w:val="00EC14CA"/>
    <w:rsid w:val="00EC673D"/>
    <w:rsid w:val="00F0377B"/>
    <w:rsid w:val="00F2362F"/>
    <w:rsid w:val="00F30F3D"/>
    <w:rsid w:val="00F37379"/>
    <w:rsid w:val="00F442FA"/>
    <w:rsid w:val="00F64DF2"/>
    <w:rsid w:val="00FB51C2"/>
    <w:rsid w:val="00FD14A7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032D"/>
  <w15:docId w15:val="{566C15C3-3EF4-493E-BAE7-A08D37E2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4BFA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DC71AF"/>
    <w:rPr>
      <w:rFonts w:ascii="Sylfaen" w:eastAsia="Sylfaen" w:hAnsi="Sylfaen" w:cs="Sylfaen"/>
    </w:rPr>
  </w:style>
  <w:style w:type="character" w:customStyle="1" w:styleId="Heading1">
    <w:name w:val="Heading #1_"/>
    <w:basedOn w:val="DefaultParagraphFont"/>
    <w:link w:val="Heading10"/>
    <w:rsid w:val="00DC71AF"/>
    <w:rPr>
      <w:rFonts w:ascii="Sylfaen" w:eastAsia="Sylfaen" w:hAnsi="Sylfaen" w:cs="Sylfaen"/>
      <w:b/>
      <w:bCs/>
      <w:i/>
      <w:iCs/>
    </w:rPr>
  </w:style>
  <w:style w:type="paragraph" w:styleId="BodyText">
    <w:name w:val="Body Text"/>
    <w:basedOn w:val="Normal"/>
    <w:link w:val="BodyTextChar"/>
    <w:qFormat/>
    <w:rsid w:val="00DC71AF"/>
    <w:pPr>
      <w:widowControl w:val="0"/>
      <w:spacing w:after="0" w:line="353" w:lineRule="auto"/>
    </w:pPr>
    <w:rPr>
      <w:rFonts w:ascii="Sylfaen" w:eastAsia="Sylfaen" w:hAnsi="Sylfaen" w:cs="Sylfaen"/>
    </w:rPr>
  </w:style>
  <w:style w:type="character" w:customStyle="1" w:styleId="BodyTextChar1">
    <w:name w:val="Body Text Char1"/>
    <w:basedOn w:val="DefaultParagraphFont"/>
    <w:uiPriority w:val="99"/>
    <w:semiHidden/>
    <w:rsid w:val="00DC71AF"/>
  </w:style>
  <w:style w:type="paragraph" w:customStyle="1" w:styleId="Heading10">
    <w:name w:val="Heading #1"/>
    <w:basedOn w:val="Normal"/>
    <w:link w:val="Heading1"/>
    <w:rsid w:val="00DC71AF"/>
    <w:pPr>
      <w:widowControl w:val="0"/>
      <w:spacing w:after="0" w:line="386" w:lineRule="auto"/>
      <w:ind w:firstLine="250"/>
      <w:outlineLvl w:val="0"/>
    </w:pPr>
    <w:rPr>
      <w:rFonts w:ascii="Sylfaen" w:eastAsia="Sylfaen" w:hAnsi="Sylfaen" w:cs="Sylfaen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C16A7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4BFA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2A32"/>
    <w:rPr>
      <w:b/>
      <w:bCs/>
    </w:rPr>
  </w:style>
  <w:style w:type="paragraph" w:styleId="NormalWeb">
    <w:name w:val="Normal (Web)"/>
    <w:basedOn w:val="Normal"/>
    <w:uiPriority w:val="99"/>
    <w:unhideWhenUsed/>
    <w:rsid w:val="00F3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63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39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hr.coe.int/Documents/Guide_Art_2_HYE.pdf" TargetMode="External"/><Relationship Id="rId13" Type="http://schemas.openxmlformats.org/officeDocument/2006/relationships/hyperlink" Target="https://www.echr.coe.int/Documents/Guide_Art_5_HYE.pdf" TargetMode="External"/><Relationship Id="rId18" Type="http://schemas.openxmlformats.org/officeDocument/2006/relationships/hyperlink" Target="https://www.echr.coe.int/Documents/Guide_Art_6_criminal_HYE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hudoc.echr.coe.int/fre?i=001-144257" TargetMode="External"/><Relationship Id="rId12" Type="http://schemas.openxmlformats.org/officeDocument/2006/relationships/hyperlink" Target="https://www.echr.coe.int/Documents/Guide_Art_5_HYE.pdf" TargetMode="External"/><Relationship Id="rId17" Type="http://schemas.openxmlformats.org/officeDocument/2006/relationships/hyperlink" Target="https://www.echr.coe.int/Documents/Guide_Art_6_criminal_HY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doc.echr.coe.int/eng?i=001-580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hudoc.echr.coe.int/app/conversion/pdf/?library=ECHR&amp;id=001-198763&amp;filename=CASE%20OF%20FERNANDES%20DE%20OLIVEIRA%20v.%20PORTUGAL%20-%20%5BRussian%20translation%5D%20summary%20by%20Development%20of%20Legal%20Systems%20Publ.%20Co.pdf" TargetMode="External"/><Relationship Id="rId11" Type="http://schemas.openxmlformats.org/officeDocument/2006/relationships/hyperlink" Target="https://hudoc.echr.coe.int/eng?i=001-1873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doc.echr.coe.int/eng?i=001-57850" TargetMode="External"/><Relationship Id="rId10" Type="http://schemas.openxmlformats.org/officeDocument/2006/relationships/hyperlink" Target="https://hudoc.echr.coe.int/eng?i=001-101676" TargetMode="External"/><Relationship Id="rId19" Type="http://schemas.openxmlformats.org/officeDocument/2006/relationships/hyperlink" Target="http://www.irtek.am/views/act.aspx?aid=993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hr.coe.int/Documents/Guide_Art_2_HYE.pdf" TargetMode="External"/><Relationship Id="rId14" Type="http://schemas.openxmlformats.org/officeDocument/2006/relationships/hyperlink" Target="https://hudoc.echr.coe.int/eng?i=001-5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FC25-FDE9-4C6A-B75C-F75C5573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2032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Arsenyan</dc:creator>
  <cp:keywords/>
  <dc:description/>
  <cp:lastModifiedBy>User</cp:lastModifiedBy>
  <cp:revision>15</cp:revision>
  <cp:lastPrinted>2023-01-04T11:07:00Z</cp:lastPrinted>
  <dcterms:created xsi:type="dcterms:W3CDTF">2022-07-07T12:28:00Z</dcterms:created>
  <dcterms:modified xsi:type="dcterms:W3CDTF">2023-08-21T06:27:00Z</dcterms:modified>
</cp:coreProperties>
</file>